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A3" w:rsidRDefault="005E58DF" w:rsidP="005E58DF">
      <w:pPr>
        <w:spacing w:after="0" w:line="240" w:lineRule="auto"/>
        <w:jc w:val="center"/>
        <w:rPr>
          <w:b/>
        </w:rPr>
      </w:pPr>
      <w:bookmarkStart w:id="0" w:name="_GoBack"/>
      <w:bookmarkEnd w:id="0"/>
      <w:r w:rsidRPr="005E58DF">
        <w:rPr>
          <w:b/>
        </w:rPr>
        <w:t xml:space="preserve">Twin Balance Sheet Problem, Indian banking Sector, and </w:t>
      </w:r>
      <w:r w:rsidR="00786373">
        <w:rPr>
          <w:b/>
        </w:rPr>
        <w:t xml:space="preserve">the </w:t>
      </w:r>
      <w:r w:rsidRPr="005E58DF">
        <w:rPr>
          <w:b/>
        </w:rPr>
        <w:t>Budget of 2017-18:</w:t>
      </w:r>
      <w:r w:rsidR="00786373">
        <w:rPr>
          <w:b/>
        </w:rPr>
        <w:t xml:space="preserve"> </w:t>
      </w:r>
    </w:p>
    <w:p w:rsidR="00845B9D" w:rsidRDefault="00F26F90" w:rsidP="005E58DF">
      <w:pPr>
        <w:spacing w:after="0" w:line="240" w:lineRule="auto"/>
        <w:jc w:val="center"/>
        <w:rPr>
          <w:b/>
        </w:rPr>
      </w:pPr>
      <w:r>
        <w:rPr>
          <w:b/>
        </w:rPr>
        <w:t xml:space="preserve">Have we forgotten </w:t>
      </w:r>
      <w:r w:rsidR="00D92F61">
        <w:rPr>
          <w:b/>
        </w:rPr>
        <w:t>Mary Poppins</w:t>
      </w:r>
      <w:r w:rsidR="005E58DF" w:rsidRPr="005E58DF">
        <w:rPr>
          <w:b/>
        </w:rPr>
        <w:t>?</w:t>
      </w:r>
    </w:p>
    <w:p w:rsidR="005C6C41" w:rsidRDefault="005C6C41" w:rsidP="005E58DF">
      <w:pPr>
        <w:spacing w:after="0" w:line="240" w:lineRule="auto"/>
        <w:jc w:val="center"/>
        <w:rPr>
          <w:b/>
        </w:rPr>
      </w:pPr>
      <w:r>
        <w:rPr>
          <w:b/>
        </w:rPr>
        <w:t>Partha Ray</w:t>
      </w:r>
    </w:p>
    <w:p w:rsidR="005E58DF" w:rsidRDefault="005E58DF" w:rsidP="005E58DF">
      <w:pPr>
        <w:spacing w:after="0" w:line="240" w:lineRule="auto"/>
        <w:jc w:val="both"/>
        <w:rPr>
          <w:b/>
        </w:rPr>
      </w:pPr>
    </w:p>
    <w:p w:rsidR="00D92F61" w:rsidRDefault="005E58DF" w:rsidP="007206A8">
      <w:pPr>
        <w:spacing w:after="0" w:line="360" w:lineRule="auto"/>
        <w:jc w:val="both"/>
        <w:rPr>
          <w:rFonts w:cstheme="minorHAnsi"/>
          <w:color w:val="000000" w:themeColor="text1"/>
          <w:sz w:val="24"/>
          <w:szCs w:val="24"/>
        </w:rPr>
      </w:pPr>
      <w:r w:rsidRPr="005E58DF">
        <w:rPr>
          <w:sz w:val="24"/>
          <w:szCs w:val="24"/>
        </w:rPr>
        <w:tab/>
      </w:r>
      <w:r>
        <w:rPr>
          <w:sz w:val="24"/>
          <w:szCs w:val="24"/>
        </w:rPr>
        <w:t xml:space="preserve">Of late, </w:t>
      </w:r>
      <w:r w:rsidRPr="005E58DF">
        <w:rPr>
          <w:sz w:val="24"/>
          <w:szCs w:val="24"/>
        </w:rPr>
        <w:t xml:space="preserve">Indian banking sector has not been too well. </w:t>
      </w:r>
      <w:r w:rsidRPr="005E58DF">
        <w:rPr>
          <w:rFonts w:cstheme="minorHAnsi"/>
          <w:color w:val="000000" w:themeColor="text1"/>
          <w:sz w:val="24"/>
          <w:szCs w:val="24"/>
        </w:rPr>
        <w:t xml:space="preserve"> </w:t>
      </w:r>
      <w:r w:rsidR="00D92F61">
        <w:rPr>
          <w:rFonts w:cstheme="minorHAnsi"/>
          <w:color w:val="000000" w:themeColor="text1"/>
          <w:sz w:val="24"/>
          <w:szCs w:val="24"/>
        </w:rPr>
        <w:t xml:space="preserve">Credit, deposits and assets are down significantly and </w:t>
      </w:r>
      <w:r w:rsidR="00F44764">
        <w:rPr>
          <w:rFonts w:cstheme="minorHAnsi"/>
          <w:color w:val="000000" w:themeColor="text1"/>
          <w:sz w:val="24"/>
          <w:szCs w:val="24"/>
        </w:rPr>
        <w:t xml:space="preserve">there has been substantial increase in </w:t>
      </w:r>
      <w:r w:rsidR="00D92F61">
        <w:rPr>
          <w:rFonts w:cstheme="minorHAnsi"/>
          <w:color w:val="000000" w:themeColor="text1"/>
          <w:sz w:val="24"/>
          <w:szCs w:val="24"/>
        </w:rPr>
        <w:t xml:space="preserve">non-performing assets. In this context, the recently released </w:t>
      </w:r>
      <w:r w:rsidR="00D92F61" w:rsidRPr="00F44764">
        <w:rPr>
          <w:rFonts w:cstheme="minorHAnsi"/>
          <w:i/>
          <w:color w:val="000000" w:themeColor="text1"/>
          <w:sz w:val="24"/>
          <w:szCs w:val="24"/>
        </w:rPr>
        <w:t>Economic Survey</w:t>
      </w:r>
      <w:r w:rsidR="00F44764">
        <w:rPr>
          <w:rFonts w:cstheme="minorHAnsi"/>
          <w:color w:val="000000" w:themeColor="text1"/>
          <w:sz w:val="24"/>
          <w:szCs w:val="24"/>
        </w:rPr>
        <w:t xml:space="preserve">, </w:t>
      </w:r>
      <w:r w:rsidR="00F44764" w:rsidRPr="00F44764">
        <w:rPr>
          <w:rFonts w:cstheme="minorHAnsi"/>
          <w:i/>
          <w:color w:val="000000" w:themeColor="text1"/>
          <w:sz w:val="24"/>
          <w:szCs w:val="24"/>
        </w:rPr>
        <w:t>2016-17</w:t>
      </w:r>
      <w:r w:rsidR="00F44764">
        <w:rPr>
          <w:rFonts w:cstheme="minorHAnsi"/>
          <w:color w:val="000000" w:themeColor="text1"/>
          <w:sz w:val="24"/>
          <w:szCs w:val="24"/>
        </w:rPr>
        <w:t xml:space="preserve"> </w:t>
      </w:r>
      <w:r w:rsidR="00D92F61">
        <w:rPr>
          <w:rFonts w:cstheme="minorHAnsi"/>
          <w:color w:val="000000" w:themeColor="text1"/>
          <w:sz w:val="24"/>
          <w:szCs w:val="24"/>
        </w:rPr>
        <w:t>has noted the simultaneous deterioration of corporate</w:t>
      </w:r>
      <w:r w:rsidR="00F44764">
        <w:rPr>
          <w:rFonts w:cstheme="minorHAnsi"/>
          <w:color w:val="000000" w:themeColor="text1"/>
          <w:sz w:val="24"/>
          <w:szCs w:val="24"/>
        </w:rPr>
        <w:t>s'</w:t>
      </w:r>
      <w:r w:rsidR="00D92F61">
        <w:rPr>
          <w:rFonts w:cstheme="minorHAnsi"/>
          <w:color w:val="000000" w:themeColor="text1"/>
          <w:sz w:val="24"/>
          <w:szCs w:val="24"/>
        </w:rPr>
        <w:t xml:space="preserve"> as well as banks' balance sheet</w:t>
      </w:r>
      <w:r w:rsidR="00F44764">
        <w:rPr>
          <w:rFonts w:cstheme="minorHAnsi"/>
          <w:color w:val="000000" w:themeColor="text1"/>
          <w:sz w:val="24"/>
          <w:szCs w:val="24"/>
        </w:rPr>
        <w:t>s</w:t>
      </w:r>
      <w:r w:rsidR="00D92F61">
        <w:rPr>
          <w:rFonts w:cstheme="minorHAnsi"/>
          <w:color w:val="000000" w:themeColor="text1"/>
          <w:sz w:val="24"/>
          <w:szCs w:val="24"/>
        </w:rPr>
        <w:t xml:space="preserve"> and suggested some important measures. Has the Budget</w:t>
      </w:r>
      <w:r w:rsidR="00F44764">
        <w:rPr>
          <w:rFonts w:cstheme="minorHAnsi"/>
          <w:color w:val="000000" w:themeColor="text1"/>
          <w:sz w:val="24"/>
          <w:szCs w:val="24"/>
        </w:rPr>
        <w:t xml:space="preserve"> proposals of 2017-18 </w:t>
      </w:r>
      <w:r w:rsidR="00D92F61">
        <w:rPr>
          <w:rFonts w:cstheme="minorHAnsi"/>
          <w:color w:val="000000" w:themeColor="text1"/>
          <w:sz w:val="24"/>
          <w:szCs w:val="24"/>
        </w:rPr>
        <w:t xml:space="preserve">looked into the plight of banking sector sufficiently? </w:t>
      </w:r>
    </w:p>
    <w:p w:rsidR="00D92F61" w:rsidRPr="00D92F61" w:rsidRDefault="00D92F61" w:rsidP="007206A8">
      <w:pPr>
        <w:spacing w:after="0" w:line="360" w:lineRule="auto"/>
        <w:jc w:val="both"/>
        <w:rPr>
          <w:rFonts w:cstheme="minorHAnsi"/>
          <w:b/>
          <w:color w:val="000000" w:themeColor="text1"/>
          <w:sz w:val="24"/>
          <w:szCs w:val="24"/>
        </w:rPr>
      </w:pPr>
      <w:r w:rsidRPr="00D92F61">
        <w:rPr>
          <w:rFonts w:cstheme="minorHAnsi"/>
          <w:b/>
          <w:color w:val="000000" w:themeColor="text1"/>
          <w:sz w:val="24"/>
          <w:szCs w:val="24"/>
        </w:rPr>
        <w:t>Problems in banks</w:t>
      </w:r>
    </w:p>
    <w:p w:rsidR="007206A8" w:rsidRPr="005E58DF" w:rsidRDefault="00D92F61" w:rsidP="007206A8">
      <w:pPr>
        <w:spacing w:after="0" w:line="360" w:lineRule="auto"/>
        <w:jc w:val="both"/>
        <w:rPr>
          <w:sz w:val="24"/>
          <w:szCs w:val="24"/>
        </w:rPr>
      </w:pPr>
      <w:r>
        <w:rPr>
          <w:rFonts w:cstheme="minorHAnsi"/>
          <w:color w:val="000000" w:themeColor="text1"/>
          <w:sz w:val="24"/>
          <w:szCs w:val="24"/>
        </w:rPr>
        <w:tab/>
      </w:r>
      <w:r w:rsidR="005E58DF">
        <w:rPr>
          <w:rFonts w:cstheme="minorHAnsi"/>
          <w:color w:val="000000" w:themeColor="text1"/>
          <w:sz w:val="24"/>
          <w:szCs w:val="24"/>
        </w:rPr>
        <w:t>T</w:t>
      </w:r>
      <w:r w:rsidR="005E58DF" w:rsidRPr="005E58DF">
        <w:rPr>
          <w:rFonts w:cstheme="minorHAnsi"/>
          <w:color w:val="000000" w:themeColor="text1"/>
          <w:sz w:val="24"/>
          <w:szCs w:val="24"/>
        </w:rPr>
        <w:t xml:space="preserve">he </w:t>
      </w:r>
      <w:r w:rsidR="005E58DF">
        <w:rPr>
          <w:rFonts w:cstheme="minorHAnsi"/>
          <w:color w:val="000000" w:themeColor="text1"/>
          <w:sz w:val="24"/>
          <w:szCs w:val="24"/>
        </w:rPr>
        <w:t xml:space="preserve">recently released </w:t>
      </w:r>
      <w:r w:rsidR="005E58DF" w:rsidRPr="005E58DF">
        <w:rPr>
          <w:rFonts w:cstheme="minorHAnsi"/>
          <w:i/>
          <w:color w:val="000000" w:themeColor="text1"/>
          <w:sz w:val="24"/>
          <w:szCs w:val="24"/>
        </w:rPr>
        <w:t>Report on Report on Trend and Progress of Banking in India 2015-16</w:t>
      </w:r>
      <w:r w:rsidR="005E58DF" w:rsidRPr="005E58DF">
        <w:rPr>
          <w:rFonts w:cstheme="minorHAnsi"/>
          <w:color w:val="000000" w:themeColor="text1"/>
          <w:sz w:val="24"/>
          <w:szCs w:val="24"/>
        </w:rPr>
        <w:t xml:space="preserve"> </w:t>
      </w:r>
      <w:r w:rsidR="005E58DF">
        <w:rPr>
          <w:rFonts w:cstheme="minorHAnsi"/>
          <w:color w:val="000000" w:themeColor="text1"/>
          <w:sz w:val="24"/>
          <w:szCs w:val="24"/>
        </w:rPr>
        <w:t xml:space="preserve">of the </w:t>
      </w:r>
      <w:r w:rsidR="005E58DF" w:rsidRPr="005E58DF">
        <w:rPr>
          <w:rFonts w:cstheme="minorHAnsi"/>
          <w:color w:val="000000" w:themeColor="text1"/>
          <w:sz w:val="24"/>
          <w:szCs w:val="24"/>
        </w:rPr>
        <w:t xml:space="preserve">RBI </w:t>
      </w:r>
      <w:r w:rsidR="005E58DF">
        <w:rPr>
          <w:rFonts w:cstheme="minorHAnsi"/>
          <w:color w:val="000000" w:themeColor="text1"/>
          <w:sz w:val="24"/>
          <w:szCs w:val="24"/>
        </w:rPr>
        <w:t xml:space="preserve">flagged out alarmingly that </w:t>
      </w:r>
      <w:r w:rsidR="005E58DF" w:rsidRPr="005E58DF">
        <w:rPr>
          <w:rFonts w:cstheme="minorHAnsi"/>
          <w:color w:val="000000" w:themeColor="text1"/>
          <w:sz w:val="24"/>
          <w:szCs w:val="24"/>
        </w:rPr>
        <w:t>t</w:t>
      </w:r>
      <w:r w:rsidR="005E58DF" w:rsidRPr="005E58DF">
        <w:rPr>
          <w:rFonts w:cstheme="minorHAnsi"/>
          <w:sz w:val="24"/>
          <w:szCs w:val="24"/>
        </w:rPr>
        <w:t>he consolidated balance sheets of the banking sector grew at meagre pace of 7.7 per cent during 2015-16</w:t>
      </w:r>
      <w:r w:rsidR="005E58DF">
        <w:rPr>
          <w:rFonts w:cstheme="minorHAnsi"/>
          <w:sz w:val="24"/>
          <w:szCs w:val="24"/>
        </w:rPr>
        <w:t xml:space="preserve">. More importantly, the pace of expansion of deposits and credit of the </w:t>
      </w:r>
      <w:r w:rsidR="00570382">
        <w:rPr>
          <w:rFonts w:cstheme="minorHAnsi"/>
          <w:sz w:val="24"/>
          <w:szCs w:val="24"/>
        </w:rPr>
        <w:t xml:space="preserve">scheduled commercial banks has </w:t>
      </w:r>
      <w:r w:rsidR="005E58DF">
        <w:rPr>
          <w:rFonts w:cstheme="minorHAnsi"/>
          <w:sz w:val="24"/>
          <w:szCs w:val="24"/>
        </w:rPr>
        <w:t xml:space="preserve">registered unprecedented deceleration </w:t>
      </w:r>
      <w:r w:rsidR="00570382">
        <w:rPr>
          <w:rFonts w:cstheme="minorHAnsi"/>
          <w:sz w:val="24"/>
          <w:szCs w:val="24"/>
        </w:rPr>
        <w:t>in 2015-16 (Chart 1</w:t>
      </w:r>
      <w:r w:rsidR="007206A8">
        <w:rPr>
          <w:rFonts w:cstheme="minorHAnsi"/>
          <w:sz w:val="24"/>
          <w:szCs w:val="24"/>
        </w:rPr>
        <w:t>a</w:t>
      </w:r>
      <w:r w:rsidR="00570382">
        <w:rPr>
          <w:rFonts w:cstheme="minorHAnsi"/>
          <w:sz w:val="24"/>
          <w:szCs w:val="24"/>
        </w:rPr>
        <w:t xml:space="preserve">). </w:t>
      </w:r>
      <w:r w:rsidR="007206A8">
        <w:rPr>
          <w:rFonts w:cstheme="minorHAnsi"/>
          <w:sz w:val="24"/>
          <w:szCs w:val="24"/>
        </w:rPr>
        <w:t>Along with th</w:t>
      </w:r>
      <w:r w:rsidR="00F44764">
        <w:rPr>
          <w:rFonts w:cstheme="minorHAnsi"/>
          <w:sz w:val="24"/>
          <w:szCs w:val="24"/>
        </w:rPr>
        <w:t>e</w:t>
      </w:r>
      <w:r w:rsidR="007206A8">
        <w:rPr>
          <w:rFonts w:cstheme="minorHAnsi"/>
          <w:sz w:val="24"/>
          <w:szCs w:val="24"/>
        </w:rPr>
        <w:t>s</w:t>
      </w:r>
      <w:r w:rsidR="00F44764">
        <w:rPr>
          <w:rFonts w:cstheme="minorHAnsi"/>
          <w:sz w:val="24"/>
          <w:szCs w:val="24"/>
        </w:rPr>
        <w:t>e</w:t>
      </w:r>
      <w:r w:rsidR="007206A8">
        <w:rPr>
          <w:rFonts w:cstheme="minorHAnsi"/>
          <w:sz w:val="24"/>
          <w:szCs w:val="24"/>
        </w:rPr>
        <w:t xml:space="preserve"> deceleration</w:t>
      </w:r>
      <w:r w:rsidR="00F44764">
        <w:rPr>
          <w:rFonts w:cstheme="minorHAnsi"/>
          <w:sz w:val="24"/>
          <w:szCs w:val="24"/>
        </w:rPr>
        <w:t>s</w:t>
      </w:r>
      <w:r w:rsidR="007206A8">
        <w:rPr>
          <w:rFonts w:cstheme="minorHAnsi"/>
          <w:sz w:val="24"/>
          <w:szCs w:val="24"/>
        </w:rPr>
        <w:t xml:space="preserve">, the other disturbing trend has been a </w:t>
      </w:r>
      <w:r w:rsidR="007206A8" w:rsidRPr="005E58DF">
        <w:rPr>
          <w:rFonts w:cstheme="minorHAnsi"/>
          <w:sz w:val="24"/>
          <w:szCs w:val="24"/>
        </w:rPr>
        <w:t>significant deterioration of asset quality of public sector banks with their gross non-performing advances going up substantially to 11.8 per cent (of total advances); this pushed up the stressed advances (i.e., gross NPA plus restructured standard advances) to 15.8 per cent of total advances in September 2016</w:t>
      </w:r>
      <w:r w:rsidR="00356BBB">
        <w:rPr>
          <w:rFonts w:cstheme="minorHAnsi"/>
          <w:sz w:val="24"/>
          <w:szCs w:val="24"/>
        </w:rPr>
        <w:t xml:space="preserve"> (Chart 1b)</w:t>
      </w:r>
      <w:r w:rsidR="007206A8">
        <w:rPr>
          <w:rFonts w:cstheme="minorHAnsi"/>
          <w:sz w:val="24"/>
          <w:szCs w:val="24"/>
        </w:rPr>
        <w:t xml:space="preserve">. It looks like whatever has been achieved in terms of cleaning up banking sector balance sheet since the initiation of financial sector reforms all seemed to have wiped away now. </w:t>
      </w:r>
    </w:p>
    <w:tbl>
      <w:tblPr>
        <w:tblStyle w:val="TableGrid"/>
        <w:tblW w:w="0" w:type="auto"/>
        <w:tblLook w:val="04A0" w:firstRow="1" w:lastRow="0" w:firstColumn="1" w:lastColumn="0" w:noHBand="0" w:noVBand="1"/>
      </w:tblPr>
      <w:tblGrid>
        <w:gridCol w:w="4716"/>
        <w:gridCol w:w="4526"/>
      </w:tblGrid>
      <w:tr w:rsidR="00570382" w:rsidTr="00315389">
        <w:tc>
          <w:tcPr>
            <w:tcW w:w="9242" w:type="dxa"/>
            <w:gridSpan w:val="2"/>
          </w:tcPr>
          <w:p w:rsidR="007206A8" w:rsidRPr="00356BBB" w:rsidRDefault="00570382" w:rsidP="007206A8">
            <w:pPr>
              <w:jc w:val="center"/>
              <w:rPr>
                <w:rFonts w:cstheme="minorHAnsi"/>
                <w:b/>
                <w:sz w:val="24"/>
                <w:szCs w:val="24"/>
              </w:rPr>
            </w:pPr>
            <w:r w:rsidRPr="00356BBB">
              <w:rPr>
                <w:rFonts w:cstheme="minorHAnsi"/>
                <w:b/>
                <w:sz w:val="24"/>
                <w:szCs w:val="24"/>
              </w:rPr>
              <w:t xml:space="preserve">Chart 1: </w:t>
            </w:r>
            <w:r w:rsidR="007206A8" w:rsidRPr="00356BBB">
              <w:rPr>
                <w:rFonts w:cstheme="minorHAnsi"/>
                <w:b/>
                <w:sz w:val="24"/>
                <w:szCs w:val="24"/>
              </w:rPr>
              <w:t xml:space="preserve">Disquieting trends in Indian </w:t>
            </w:r>
            <w:r w:rsidRPr="00356BBB">
              <w:rPr>
                <w:rFonts w:cstheme="minorHAnsi"/>
                <w:b/>
                <w:sz w:val="24"/>
                <w:szCs w:val="24"/>
              </w:rPr>
              <w:t>Commercial Banks</w:t>
            </w:r>
          </w:p>
          <w:p w:rsidR="00570382" w:rsidRPr="00356BBB" w:rsidRDefault="00570382" w:rsidP="007206A8">
            <w:pPr>
              <w:jc w:val="center"/>
              <w:rPr>
                <w:rFonts w:cstheme="minorHAnsi"/>
                <w:b/>
                <w:sz w:val="20"/>
                <w:szCs w:val="20"/>
              </w:rPr>
            </w:pPr>
            <w:r w:rsidRPr="00356BBB">
              <w:rPr>
                <w:rFonts w:cstheme="minorHAnsi"/>
                <w:b/>
                <w:sz w:val="20"/>
                <w:szCs w:val="20"/>
              </w:rPr>
              <w:t xml:space="preserve"> </w:t>
            </w:r>
          </w:p>
        </w:tc>
      </w:tr>
      <w:tr w:rsidR="007206A8" w:rsidTr="007206A8">
        <w:tc>
          <w:tcPr>
            <w:tcW w:w="4716" w:type="dxa"/>
          </w:tcPr>
          <w:p w:rsidR="007206A8" w:rsidRPr="00356BBB" w:rsidRDefault="007206A8" w:rsidP="00356BBB">
            <w:pPr>
              <w:jc w:val="center"/>
              <w:rPr>
                <w:rFonts w:cstheme="minorHAnsi"/>
                <w:b/>
                <w:sz w:val="20"/>
                <w:szCs w:val="20"/>
              </w:rPr>
            </w:pPr>
            <w:r w:rsidRPr="00356BBB">
              <w:rPr>
                <w:rFonts w:cstheme="minorHAnsi"/>
                <w:b/>
                <w:sz w:val="20"/>
                <w:szCs w:val="20"/>
              </w:rPr>
              <w:t>Chart 1a: Growth in Aggregate Deposits and Credits of   Scheduled Commercial Banks: 1970-71 to 2015-16 (%)</w:t>
            </w:r>
          </w:p>
          <w:p w:rsidR="007206A8" w:rsidRPr="00356BBB" w:rsidRDefault="007206A8" w:rsidP="00570382">
            <w:pPr>
              <w:jc w:val="both"/>
              <w:rPr>
                <w:rFonts w:cstheme="minorHAnsi"/>
                <w:sz w:val="20"/>
                <w:szCs w:val="20"/>
              </w:rPr>
            </w:pPr>
            <w:r w:rsidRPr="00356BBB">
              <w:rPr>
                <w:noProof/>
                <w:sz w:val="20"/>
                <w:szCs w:val="20"/>
                <w:lang w:val="en-US"/>
              </w:rPr>
              <w:drawing>
                <wp:inline distT="0" distB="0" distL="0" distR="0" wp14:anchorId="37F20309" wp14:editId="5A6B3FC4">
                  <wp:extent cx="2832100" cy="226695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526" w:type="dxa"/>
          </w:tcPr>
          <w:p w:rsidR="00356BBB" w:rsidRDefault="00356BBB" w:rsidP="00356BBB">
            <w:pPr>
              <w:jc w:val="center"/>
              <w:rPr>
                <w:rFonts w:cstheme="minorHAnsi"/>
                <w:b/>
                <w:bCs/>
                <w:sz w:val="20"/>
                <w:szCs w:val="20"/>
              </w:rPr>
            </w:pPr>
            <w:r w:rsidRPr="00356BBB">
              <w:rPr>
                <w:rFonts w:cstheme="minorHAnsi"/>
                <w:b/>
                <w:bCs/>
                <w:sz w:val="20"/>
                <w:szCs w:val="20"/>
              </w:rPr>
              <w:t xml:space="preserve">Chart 1b: </w:t>
            </w:r>
            <w:r>
              <w:rPr>
                <w:rFonts w:cstheme="minorHAnsi"/>
                <w:b/>
                <w:bCs/>
                <w:sz w:val="20"/>
                <w:szCs w:val="20"/>
              </w:rPr>
              <w:t>Gross NPA a</w:t>
            </w:r>
            <w:r w:rsidRPr="00356BBB">
              <w:rPr>
                <w:rFonts w:cstheme="minorHAnsi"/>
                <w:b/>
                <w:bCs/>
                <w:sz w:val="20"/>
                <w:szCs w:val="20"/>
              </w:rPr>
              <w:t xml:space="preserve">s % of Gross Advances: </w:t>
            </w:r>
          </w:p>
          <w:p w:rsidR="007206A8" w:rsidRPr="00356BBB" w:rsidRDefault="00356BBB" w:rsidP="00356BBB">
            <w:pPr>
              <w:jc w:val="center"/>
              <w:rPr>
                <w:rFonts w:cstheme="minorHAnsi"/>
                <w:sz w:val="20"/>
                <w:szCs w:val="20"/>
              </w:rPr>
            </w:pPr>
            <w:r w:rsidRPr="00356BBB">
              <w:rPr>
                <w:rFonts w:cstheme="minorHAnsi"/>
                <w:b/>
                <w:bCs/>
                <w:sz w:val="20"/>
                <w:szCs w:val="20"/>
              </w:rPr>
              <w:t>2002-03 to Sept 2016</w:t>
            </w:r>
          </w:p>
          <w:p w:rsidR="007206A8" w:rsidRPr="00356BBB" w:rsidRDefault="00356BBB" w:rsidP="00570382">
            <w:pPr>
              <w:jc w:val="both"/>
              <w:rPr>
                <w:rFonts w:cstheme="minorHAnsi"/>
                <w:sz w:val="20"/>
                <w:szCs w:val="20"/>
              </w:rPr>
            </w:pPr>
            <w:r w:rsidRPr="00356BBB">
              <w:rPr>
                <w:noProof/>
                <w:sz w:val="20"/>
                <w:szCs w:val="20"/>
                <w:lang w:val="en-US"/>
              </w:rPr>
              <w:drawing>
                <wp:inline distT="0" distB="0" distL="0" distR="0" wp14:anchorId="5F7A37B0" wp14:editId="6EB753F2">
                  <wp:extent cx="2711450" cy="2266950"/>
                  <wp:effectExtent l="0" t="0" r="127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570382" w:rsidTr="00E66F87">
        <w:tc>
          <w:tcPr>
            <w:tcW w:w="9242" w:type="dxa"/>
            <w:gridSpan w:val="2"/>
          </w:tcPr>
          <w:p w:rsidR="00570382" w:rsidRPr="00356BBB" w:rsidRDefault="00570382" w:rsidP="00570382">
            <w:pPr>
              <w:jc w:val="both"/>
              <w:rPr>
                <w:rFonts w:cstheme="minorHAnsi"/>
                <w:sz w:val="20"/>
                <w:szCs w:val="20"/>
              </w:rPr>
            </w:pPr>
            <w:r w:rsidRPr="00356BBB">
              <w:rPr>
                <w:rFonts w:cstheme="minorHAnsi"/>
                <w:sz w:val="20"/>
                <w:szCs w:val="20"/>
              </w:rPr>
              <w:t>Source: Database on Indian Economy, RBI</w:t>
            </w:r>
          </w:p>
        </w:tc>
      </w:tr>
    </w:tbl>
    <w:p w:rsidR="00356BBB" w:rsidRDefault="00356BBB" w:rsidP="00356BBB">
      <w:pPr>
        <w:spacing w:after="0" w:line="360" w:lineRule="auto"/>
        <w:jc w:val="both"/>
        <w:rPr>
          <w:rFonts w:cstheme="minorHAnsi"/>
          <w:sz w:val="24"/>
          <w:szCs w:val="24"/>
        </w:rPr>
      </w:pPr>
      <w:r>
        <w:rPr>
          <w:rFonts w:cstheme="minorHAnsi"/>
          <w:sz w:val="24"/>
          <w:szCs w:val="24"/>
        </w:rPr>
        <w:lastRenderedPageBreak/>
        <w:tab/>
        <w:t xml:space="preserve">This has affected the behaviour and performance of banks in India. </w:t>
      </w:r>
      <w:r w:rsidRPr="00356BBB">
        <w:rPr>
          <w:rFonts w:cstheme="minorHAnsi"/>
          <w:sz w:val="24"/>
          <w:szCs w:val="24"/>
        </w:rPr>
        <w:t xml:space="preserve">The latest </w:t>
      </w:r>
      <w:r w:rsidRPr="00356BBB">
        <w:rPr>
          <w:rFonts w:cstheme="minorHAnsi"/>
          <w:i/>
          <w:sz w:val="24"/>
          <w:szCs w:val="24"/>
        </w:rPr>
        <w:t>Economic Survey, 2016-17</w:t>
      </w:r>
      <w:r w:rsidRPr="00356BBB">
        <w:rPr>
          <w:rFonts w:cstheme="minorHAnsi"/>
          <w:sz w:val="24"/>
          <w:szCs w:val="24"/>
        </w:rPr>
        <w:t xml:space="preserve"> put the impact somewhat dramatically, and went on to say: </w:t>
      </w:r>
    </w:p>
    <w:p w:rsidR="00356BBB" w:rsidRPr="00F44764" w:rsidRDefault="00356BBB" w:rsidP="00356BBB">
      <w:pPr>
        <w:spacing w:after="0" w:line="240" w:lineRule="auto"/>
        <w:ind w:left="567"/>
        <w:jc w:val="both"/>
        <w:rPr>
          <w:rFonts w:cstheme="minorHAnsi"/>
          <w:sz w:val="24"/>
          <w:szCs w:val="24"/>
        </w:rPr>
      </w:pPr>
      <w:r w:rsidRPr="00F44764">
        <w:rPr>
          <w:rFonts w:cstheme="minorHAnsi"/>
          <w:sz w:val="24"/>
          <w:szCs w:val="24"/>
        </w:rPr>
        <w:t>"In February 2016, financial markets in India were rocked by bad news from the banking system. One by one, public sector banks revealed their financial results for the December quarter. And the numbers were stunning. Banks reported that nonperforming assets had soared, to such an extent that provisioning had overwhelmed operating earnings. As a result, net income had plunged deeply into the red. ...The news set off alarm bells amongst investors, who responded by fleeing public sector bank shares, bringing their prices to such low levels that at one point the medium-sized private sector bank HDFC was valued as much as 24 public sector banks put together" (Chart 2).</w:t>
      </w:r>
    </w:p>
    <w:p w:rsidR="00356BBB" w:rsidRDefault="00570382" w:rsidP="005C6C41">
      <w:pPr>
        <w:spacing w:after="0" w:line="240" w:lineRule="auto"/>
        <w:jc w:val="both"/>
        <w:rPr>
          <w:rFonts w:cstheme="minorHAnsi"/>
          <w:sz w:val="24"/>
          <w:szCs w:val="24"/>
        </w:rPr>
      </w:pPr>
      <w:r>
        <w:rPr>
          <w:rFonts w:cstheme="minorHAnsi"/>
          <w:sz w:val="24"/>
          <w:szCs w:val="24"/>
        </w:rPr>
        <w:tab/>
      </w:r>
      <w:r>
        <w:rPr>
          <w:rFonts w:cstheme="minorHAnsi"/>
          <w:sz w:val="24"/>
          <w:szCs w:val="24"/>
        </w:rPr>
        <w:br/>
      </w:r>
    </w:p>
    <w:tbl>
      <w:tblPr>
        <w:tblStyle w:val="TableGrid"/>
        <w:tblW w:w="0" w:type="auto"/>
        <w:tblLook w:val="04A0" w:firstRow="1" w:lastRow="0" w:firstColumn="1" w:lastColumn="0" w:noHBand="0" w:noVBand="1"/>
      </w:tblPr>
      <w:tblGrid>
        <w:gridCol w:w="9242"/>
      </w:tblGrid>
      <w:tr w:rsidR="00356BBB" w:rsidTr="00356BBB">
        <w:tc>
          <w:tcPr>
            <w:tcW w:w="9242" w:type="dxa"/>
          </w:tcPr>
          <w:p w:rsidR="00356BBB" w:rsidRPr="00786373" w:rsidRDefault="00786373" w:rsidP="00786373">
            <w:pPr>
              <w:spacing w:line="360" w:lineRule="auto"/>
              <w:jc w:val="center"/>
              <w:rPr>
                <w:rFonts w:cstheme="minorHAnsi"/>
              </w:rPr>
            </w:pPr>
            <w:r w:rsidRPr="00786373">
              <w:rPr>
                <w:rFonts w:cstheme="minorHAnsi"/>
                <w:b/>
                <w:bCs/>
              </w:rPr>
              <w:t>Chart 2: Market Capitalisation - Public Sector Banks &amp; HDFC (Rs. trillion)</w:t>
            </w:r>
          </w:p>
        </w:tc>
      </w:tr>
      <w:tr w:rsidR="00356BBB" w:rsidTr="00356BBB">
        <w:tc>
          <w:tcPr>
            <w:tcW w:w="9242" w:type="dxa"/>
          </w:tcPr>
          <w:p w:rsidR="00356BBB" w:rsidRDefault="00356BBB" w:rsidP="007206A8">
            <w:pPr>
              <w:spacing w:line="360" w:lineRule="auto"/>
              <w:jc w:val="both"/>
              <w:rPr>
                <w:rFonts w:cstheme="minorHAnsi"/>
                <w:sz w:val="24"/>
                <w:szCs w:val="24"/>
              </w:rPr>
            </w:pPr>
            <w:r>
              <w:rPr>
                <w:rFonts w:cstheme="minorHAnsi"/>
                <w:noProof/>
                <w:sz w:val="24"/>
                <w:szCs w:val="24"/>
                <w:lang w:val="en-US"/>
              </w:rPr>
              <mc:AlternateContent>
                <mc:Choice Requires="wpc">
                  <w:drawing>
                    <wp:inline distT="0" distB="0" distL="0" distR="0" wp14:anchorId="749744A6" wp14:editId="6A317CAD">
                      <wp:extent cx="5689600" cy="2800350"/>
                      <wp:effectExtent l="0" t="0" r="6350" b="1905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88000"/>
                                          </a14:imgEffect>
                                        </a14:imgLayer>
                                      </a14:imgProps>
                                    </a:ext>
                                    <a:ext uri="{28A0092B-C50C-407E-A947-70E740481C1C}">
                                      <a14:useLocalDpi xmlns:a14="http://schemas.microsoft.com/office/drawing/2010/main" val="0"/>
                                    </a:ext>
                                  </a:extLst>
                                </a:blip>
                                <a:srcRect/>
                                <a:stretch>
                                  <a:fillRect/>
                                </a:stretch>
                              </pic:blipFill>
                              <pic:spPr bwMode="auto">
                                <a:xfrm>
                                  <a:off x="0" y="0"/>
                                  <a:ext cx="5700395"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39D3BD4A" id="Canvas 5" o:spid="_x0000_s1026" editas="canvas" style="width:448pt;height:220.5pt;mso-position-horizontal-relative:char;mso-position-vertical-relative:line" coordsize="56896,28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6qTMwMAAIcHAAAOAAAAZHJzL2Uyb0RvYy54bWysVW1vmzAQ/j5p/wHx&#10;nWIYCS9qOrWQTJO6rZq2H+AYE6yBjWwnaTXtv+/OhKRZNm3ahgSc7fP5ueeeg+vXj33n7bg2QsmF&#10;H10R3+OSqVrIzcL//GkVZL5nLJU17ZTkC/+JG//1zcsX1/uh4LFqVVdz7UEQaYr9sPBba4ciDA1r&#10;eU/NlRq4hMVG6Z5aGOpNWGu6h+h9F8aEzMO90vWgFePGwGw1Lvo3Ln7TcGY/NI3h1usWPmCz7qnd&#10;c43P8OaaFhtNh1awAwz6Fyh6KiQcegxVUUu9rRYXoXrBtDKqsVdM9aFqGsG4ywGyicgP2ZRU7qhx&#10;yTBgZwII1n+Mu94gbqlWouuAjRCiFziH7z3Uh+NyJ8+dxhnne/AZBCvgPnAI1gXE39cSdtmt5v4h&#10;SP9HMXqqv2yHAOgcqBVr0Qn75KQBvCEouXsQ7EGPA/Z+96A9US/8xPck7UGRsIqHejPUAm5An3EH&#10;xYzuFftiPKnKlsoNvzUDaAqUDtunKa3VvuW0NjiNFJ5HccMzFOtODEg3cor2IV+Q5e/lP0qmUmzb&#10;c2nHHtC8g9SVNK0YjO/pgvdrDjnqt3XkVMkf7b2xeBxYoy6/xtktIXl8F5QzUgYJSZfBbZ6kQUqW&#10;aUKSLCqj8hvujpJiazjQQLtqEFOTRMkF2p9q+9Cuo7xdm3g76poRmXKApreDCFNICWI1mn0EssEP&#10;bKu5ZS2aDTB3mAfn44Kj+cQs1sAMUOz1/p2qoc50a5Uj47HRPcYBJr1H9yV4On4JkB4Gk7OUkFf5&#10;zPcYrMUZybPU6QMOnLYP2tg3XPUeGsA1IHXh6Q7yGHObXPC0Y4P9qpkcFRdVykm+zJZZEiTxfAlV&#10;qqrgdlUmwXwVpbPqVVWWVTRVqRV1zSUK69+L5DhXnagnnRq9WZedHou3cpfTOlTg5BaiWE4wpsJi&#10;sJPw8ihOyF2cB6t5lgbJKpkFeUqygET5XT4nSZ5Uq/OU7oXk/56St1/4+SyeuSo9A41Ce5Ybcddl&#10;brTohYV/VSf6hZ8dnWiBrb+UtZOppaIb7WdUIPwTFaPmR61PIoVVNOEGy314B7TOfifPx87r9P+8&#10;+Q4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p5bGPcAAAABQEAAA8AAABkcnMv&#10;ZG93bnJldi54bWxMj01Lw0AQhu+C/2EZwZvdbQkxptkUERTRg1oDXrfZabJ0P0J220R/vaMXvQy8&#10;vMMzz1Sb2Vl2wjGa4CUsFwIY+jZo4zsJzfv9VQEsJuW1ssGjhE+MsKnPzypV6jD5NzxtU8cI4mOp&#10;JPQpDSXnse3RqbgIA3rq9mF0KlEcO65HNRHcWb4SIudOGU8XejXgXY/tYXt0ErLV3havD/nz12PT&#10;TE8fmbkWL0bKy4v5dg0s4Zz+luFHn9ShJqddOHodmZVAj6TfSV1xk1PcEThbCuB1xf/b198AAAD/&#10;/wMAUEsDBAoAAAAAAAAAIQDjhD3S7i0AAO4tAAAUAAAAZHJzL21lZGlhL2ltYWdlMS5wbmeJUE5H&#10;DQoaCgAAAA1JSERSAAACEAAAAScIAgAAAHf17VYAAAABc1JHQgCuzhzpAAAABGdBTUEAALGPC/xh&#10;BQAAAAlwSFlzAAAOwwAADsMBx2+oZAAALYNJREFUeF7tnQu4XFV1x5flIUEiFkRQWx7SD6kBUaGI&#10;QotUwFgCpPLQgChWUAQiJJBYBAXlkYQEkkAELI2JYLC8rQryyANrJOHpC+RhtA0lgCDyaqUQIF0z&#10;Z+65c2duZq19ztrnseY/33xw78za/73Xb+2z/vfMTObQGtxAAARAAARAQEGAFDEIAQEQAAEQAIE1&#10;MAxsAhAAARAAARUBGIYKE4JAAARAAARgGNgDIAACIAACKgIwDBUmBIEACIAACMAwsAdAAARAAARU&#10;BGAYKkwIAgEQAAEQgGFgD4AACIAACKgIwDBUmBAEAiAAAiAAw8AeAAEQAAEQUBGAYagwIQgEQAAE&#10;QCDAMAg3EAABEAAB1wR6m2KYYcBgQQAEQAAEvBJgK4RheC0u8gIBEAABSwIwDEua0AIBEAABxwRg&#10;GI6Li9RAAARAwJIADMOSJrRAAARAwDEBGIbj4iI1EAABELAkUG/D2Kzx8bUdLHlACwRAAARAYC0E&#10;amwYz94xnVf/ho+dgeKCAAiAAAgUQKC+hvEo0esaJxg7HVUAJkwBAiAAAiBQV8MY2fz3Iw3D2PsU&#10;VBEEQAAEQKAAArU0jG8fu/fZP3msZRgHniVicv0P9ZFc5QiMHDly66233qF522abbd74xjdWbolY&#10;kHcCYlfMFlBDw3jq+9217p28mGQ2dhgFAj0IJLsUiECgeALxNp6oHLDjRS1zcI0jcpcviLLFL0xc&#10;EgLcE4BhuC9xZROM1/FE5cobxiYfEcsmJikqIAAEQgnAMEKJId6KQLyOJypX2jCUfMUklToIAwE9&#10;ARiGnhUibQnE63iiMgzDtpRQ6xcCMIx+qXT18hTbeuYli8owjMxsMbCvCcAw+rr8pSYvtvXMqxOV&#10;YRiZ2WJgXxOAYfR1+UtNXmzrmVcnKsMwMrPFwL4mAMPo6/KXmrzY1jOvTlSGYWRmi4F9TQCG0dfl&#10;LzV5sa1nXp2oDMPIzBYD+5oADKOvy19q8mJbz7w6URmGkZktBvY1ARhGX5e/1OTFtp55daIyDCMz&#10;WwzsawIwjL4uf6nJi2098+pEZRhGZrYY2NcEYBh9Xf5SkxfbeubVicowjMxsMbCvCcAw+rr8pSYv&#10;tvXMqxOVYRiZ2WJgXxOAYfR1+UtNXmzrmVcnKsMwMrPFwL4mAMPo6/KXmrzY1jOvTlSGYWRmi4F9&#10;TQCG0dflLzV5sa1nXp2oDMPIzBYD+5oADKOvy19q8mJbz7w6URmGkZktBvY1ARhGX5e/1OTFtp55&#10;daIyDCMzWwzsawIwjL4uf6nJi2098+pEZRhGGNukTWxONIpoV6IPEu2R+84iLMWCLIs2FFaP8qJR&#10;qfLY9/vMYlvPDEhUhmGEsWWg7yb6BNFEotOJziaakvvOIizFgizL4mLNwlaM6DgEYBhxuEJVJhCv&#10;RYjKMAy5PO0RfBLAbX0q0RVENxItJFqS+84iLMWCLMviPEXYmhBdBgEYRhnUMWeDgNjWM2MSlQN6&#10;k6gVusp/m37owGswIzvGDjyu+nPbfGE9EuEXjvhUgJv7MqIHiVYSrSJ6LMedh7MIS7Egy7I4TxFK&#10;EvHFE4BhFM8cMyYE4nU8UTmgN4laYeV8iTtkY/ZFcz7erUy0k17NeGE9J+Y3G/jlIz4h4Bb/HNFL&#10;RKtz31mEpViQZVmcp9DnjsiyCMAwyiKPeeN1PFE5oDeJWtkK+fKvrjn9ul8MHfsa0XZ6tUgLG3YB&#10;/AY1v+XALyLxaQE3el4o39nxM98TBZZiQZZlcZ5CnzsiyyIAwyiLPOaN1/FE5YDeJGplKOTKpTOT&#10;A+/5IYNXpC9JTb5soSgbY2Frm5Q/E8XvcvP7FvxSEp9b5HSLxGZYhKVYkGVZnKcQU0ZA6QRgGKWX&#10;oG8XEK/jicoBvUnUylC/n/3s8eQluQ7xRXc+yo8/dsccfnz5K4JwjIWJhsHvW3CXz3xi0TGQpVgQ&#10;hpFhC5U1BIZRFnnMG6/jicolG0ZS+33X6zSMdE/wE7udMr/3FhGTNNxh6RkGDMOQah2lYBh1rJqP&#10;NcfreKJyaYbxt69LTYLf7qVDL76lu5ZLLhrHT62QiiwmKQkEPA/DCIDlOhSG4bq8lU4uXscTlUsz&#10;jIcWnZO+UTFh7o+4Pk/e+mV+5F/vXzFmk/QZuveJ1WLpxCRFBX0ADEPPynckDMN3faucXbyOJyqX&#10;ZhiG9RCTNJwLhmEIs9ZSMIxal6/Wi4/X8URlGEbYzoFhhPHyGw3D8FvbqmcmtvXMCYjKMIwwtjCM&#10;MF5+o2EYfmtb9czEtp45AVEZhhHGFoYRxstvNAzDb22rnpnY1jMnICrDMMLYwjDCePmNhmH4rW3V&#10;MxPbeuYERGUYRhhbGEYYL7/RMAy/ta16ZmJbz5yAqAzDCGMLwwjj5TcahuG3tlXPTGzrmRMQlWEY&#10;YWxhGGG8/EbDMPzWtuqZiW09cwKiMgwjjC0MI4yX32gYht/aVj0zsa1nTkBUhmGEsYVhhPHyGw3D&#10;8FvbqmcmtvXMCYjKMIwwtjCMMF5+o2EYfmtb9czEtp45AVEZhhHGFoYRxstvNAzDb22rnpnY1jMn&#10;ICrDMMLYwjDCePmNhmH4rW3VMxPbeuYERGUYRhhbGEYYL7/RMAy/ta16ZmJbz5yAqAzDCGMLwwjj&#10;5TcahuG3tlXPTGzrmRMQlWEYYWxhGGG8/EbDMPzWtuqZiW09cwKiMgwjjC0MI4yX32gYht/aVj0z&#10;sa1nTkBUhmGEsYVhhPHyGw3D8FvbqmcmtvXMCYjKMIwwtjCMMF5+o2EYfmtb9czEtp45AVEZhhHG&#10;FoYRxstvNAzDb22rnpnY1jMnICpX1DA2Tg5HoqPm3SwmLyYpKugDYBh6Vr4jYRi+61vl7OJ1PFG5&#10;iobx7fF7rbfP8Vyw5jG5kVg5MUlRQR8Aw9Cz8h0Jw/Bd3ypnF6/jicpVNIy0VJP2PUBTNjFJjYgy&#10;BoahBOU+DIbhvsSVTTBexxOVq2sYH1ovOSRfL5ZNTFJU0AfAMPSsfEfCMHzXt8rZxet4onJ1DaNZ&#10;sLs4gX+Y/v3exROTNKw9DMMQZq2lYBi1Ll+tFx+v44nKFTeMxtsYrz/gNBhGrfe3y8XDMFyWtRZJ&#10;iW09cxaichUNgxe98cGncs4XHbsr//xHKXsxSUkg4HmcYQTAch0Kw3Bd3konF6/jicpVNIw9W+9e&#10;NA7J+0S7aH6YqrDywjAKQ13xiWAYFS+Q4+XF63iickCrFbXKqlCRC4NhlFXlqs0Lw6haRfpnPfE6&#10;nqgMwwjbZjCMMF5+o2EYfmtb9czEtp45AVEZhhHGFoYRxstvNAzDb22rnpnY1jMnICrDMMLYwjDC&#10;ePmNhmH4rW3VMxPbeuYERGUYRhhbGEYYL7/RMAy/ta16ZmJbz5yAqAzDCGMLwwjj5TcahuG3tlXP&#10;TGzrmRMQlWEYYWxhGGG8/EbDMPzWtuqZiW09cwKiMgwjjC0MI4yX32gYht/aVj0zsa1nTkBUhmGE&#10;sYVhhPHyGw3D8FvbqmcmtvXMCYjKMIwwtjCMMF5+o2EYfmtb9czEtp45AVEZhhHGFoYRxstvNAzD&#10;b22rnpnY1jMnICrDMMLYwjDCePmNhmH4rW3VMxPbeuYERGUYRhhbGEYYL7/RMAy/ta16ZmJbz5yA&#10;qAzDCGMLwwjj5TcahuG3tlXPTGzrmRMQlWEYYWxhGGG8/EbDMPzWtuqZiW09cwKiMgwjjC0MI4yX&#10;3+gxY8aIR5ff7JFZmQTibTxRGYYRVngYRhgvv9GTJk0Sjy6/2SOzMgnE23iiMgwjrPAwjDBefqNP&#10;Pvlk8ejymz0yK5NAvI0nKsMwwgoPwwjj5Td64sSJ4tHlN3tkViaBeBtPVIZhhBUehhHGy280DMNv&#10;bauemdjWMycgKpdpGFed94nkoyZ8e2VoiunjYgI8ThOTmWDHQBiGFcm660yYMKHIjVd3XFi/IYF4&#10;G09ULs8wVi8bWNwzDXt4/R7tQIneo+crJqmXEiNhGCKiPgko2DDa/4QiWpdoA6IRRBvmuPNwFmGp&#10;wVuf1K7uacbreKJyaYYx77jR469YmlRuVNMx2qr4GtF2+qKKSeqlxEgYhoioTwJKMoxtiXgPjiba&#10;n+hAorE57jycRViKBVm2ceuT2tU9zXiVEpUDtoiolbkMrPzikMEPp3/zTL5soSgbb2HdU8MwxHL0&#10;SUAZhrEtve4f6S/H0w6n0fu+TruclffOIizFgizb9Iw+qV3d04xXKVE5YIuIWtnKsBOtc+X9T3eM&#10;XXTno/zIY3fM4UmXd7y/0TVNpIUNmw4MI1uV/Y0qwzD2aDT3PWbQfpfSIQto3JV02FXZ7zycRViK&#10;BVm2cZ4R0A38FbRGGcWrlKgcsEVErQzEd6IRK3oO40l3O2V+b+UYC1vbjDCMDFV2OaRww+A3G0Y3&#10;Tgi4xR/1QzruVjp+IY1flP3Ow1mEpViQZRuvTa3rslL+korX8UTlMg2DF/fsQDGHXeiSi8bx470d&#10;hQXEJA13DAzDEGatpQo3DH6Dev/GK1F8WsCN/oQldOJtee8swlIsyLKN9zM2qHVF+mfx8TqeqFya&#10;YaTvUqQ/PPKjyfzz3F//dswmg0/e+8RqcR+ISYoK+gAYhp6V78jCDYM/1HRg400LfimJTw7yu0Wi&#10;wFIsyLKNt9BHeC3Z0G5T+8+Yxet4onJphmG4NcUkDeeCYRjCrLVU4YbBn6Ad2+js/L4FvxJlZRgs&#10;xYINwxjLn9CtdUV6LH7AMJx8xixexxOVYRhhxwgMI4yX32gYRo1q2zQMP58xE9t65tKIyjCMMLYw&#10;jDBefqNhGDWqbdMw/HzGTGzrmUsjKsMwwtjCMMJ4+Y2GYdSots1/0O7nM2ZiW89cGlEZhhHGFoYR&#10;xstvNAyjRrVtfgmKn8+YiW09c2lEZRhGGFsYRhgvv9EwjBrVtvm9W34+Yya29cylEZVhGGFsYRhh&#10;vPxGwzBqVNvmVzT6+YyZ2NYzl0ZUhmGEsYVhhPEaGp18unFzIv66yV2JPtj8PoqcdxZhKRZk2eSW&#10;Z4X6sTAMPavSI2EYyhKIh0/A0SVqKddkHlbkwmAYecrHlXo3EV8FhS9WdzrR2URTct9ZhKVYkGVZ&#10;vLDNAMPIsxMKHgvDUAIXDx8YhpJkKwyGEcZraDSfBHBbn0p0BdGNRAuJluS+swhLsSDLsjhPkWeF&#10;+rEwDD2r0iNhGMoSwDCUoLRhMAwtqeHi+IUjPhXg5s4Xz3qQaCXRKqLHctx5OIuwFAuyLIvzFHlW&#10;qB8Lw9CzKj0ShqEsAQxDCUobBsPQkhoujt9s4JeP+ISAW/xzRC8Rrc59ZxGWYkGWZXGeIs8K9WNh&#10;GHpWpUfCMJQlgGEoQWnDYBhaUsPF8RvU/JYDv4jEpwXc6PnCinznbxvOfE8UWIoFWZbFeYo8K9SP&#10;hWHoWZUeCcNQlgCGoQSlDYNhaEkNF5fS45eS+Nwip1skNsMiLMWC/HYIv4XOU+RZoX4sDEPPqvRI&#10;GIayBDAMJShtGAxDS6qnYfD7FtzlM59YdAxkKRaEYWT5Ctt++bZa/DsM1YELw1Bh0gfBMPSsuiM9&#10;0cMZRp6dUPBYnGEogcMwlKC0YZ5anjZnuzhP9GAYdvsiuhIMQ4kYhqEEpQ3z1PK0OdvFeaIHw7Db&#10;F9GVYBhKxDAMJShtmKeWp83ZLs4TPRiG3b6IrgTDUCKGYShBacM8tTxtznZxnujBMOz2RXQlGIYS&#10;cV0NY5OBL5KjzfYUUxWTFBX0AZ5anj5rq0hP9GAYVruiAB0YhhKy2EsDPrQuainXJIbNO+59RBtz&#10;2K0XHMKTXr7iud5DClsYL8NTyxMLYR7giR4Mw3x7xBOEYSjZir20ioaxftu/veIEjvvuT2EYynpX&#10;PAyGkblAzlpeZg7ZBjqjJ7b1bJR4lKhcRcNIs33+rlliApokM+PrHuip5RliUUp5ooczDGXRqxAG&#10;w1BWQey3VTaM58XVJxSUYUpkvcM8tTwTIEEinujBMIJKX24wDEPJX+yllTWMJ4m2sEpSqaMJ89Ty&#10;NPnaxniiB8Ow3RtR1WAYSry1NIxn71tA9PZWho9cTSP/vne2YpJKWJowTy1Pk69tjCd6MAzbvRFV&#10;DYahxCv20uqdYbyyPP1IbfLD9l+YBcNQ1rviYTCMzAVy1vIyc8g20Bk9sa1no6R5eb96hhGeazx8&#10;3Wvx1PLCSecd4YkezjDy7oYCx8MwlLDFXgrDUJJshXlqeWGZW0R7ogfDsNgRBWnAMJSgYRhKUNow&#10;Ty1Pm7NdnCd6MAy7fRFdCYahRAzDUILShnlqedqc7eI80YNh2O2L6EowDCViGIYSlDbMU8vT5mwX&#10;54keDMNuX0RXgmEoEcMwlKC0YZ5anjZnuzhP9GAYdvsiuhIMQ4kYhqEEpQ3z1PK0OdvFeaIHw7Db&#10;F9GVYBhKxDAMJShtmKeWp83ZLs4TPRiG3b6IrgTDUCKGYShBacM8tTxtznZxnujBMOz2RXQlGIYS&#10;MQxDCUob5qnlaXO2i/NED4Zhty+iK8EwlIhhGEpQ2jBPLU+bs12cJ3owDLt9EV0JhqFEDMNQgtKG&#10;eWp52pzt4jzRg2HY7YvoSjAMJWIYhhKUNsxTy9PmbBfniR4Mw25fRFeCYSgRwzCUoLRhnlqeNme7&#10;OE/0YBh2+yK6EgxDiRiGoQSlDfPU8rQ528V5ogfDsNsX0ZVgGErEMAwlKG2Yp5anzdkuzhM9GIbd&#10;voiuBMNQIoZhKEFpwzy1PG3OdnGe6MEw7PZFdCUYhhIxDEMJShvmqeVpc7aL80QPhmG3L6IrwTCU&#10;iGEYSlDaME8tT5uzXZwnejAMu30RXQmGoUQMw1CC0oZ5annanO3iPNGDYdjti+hKMAwl4qobxgd4&#10;gTTMZWKbD7duYqpikqKCPsBTy9NnbRXpiR4Mw2pXFKADw1BCFntpidf0fqyHJRDtqMyQw8Qk9VJi&#10;pKeWJyZrHuCJHgzDfHvEE4RhKNmKvbREw2ikMG3shsMt8U9E2yozhGHoQZUeCcPIXAJnLS8zh2wD&#10;ndET23o2SppeWrJhzPr4nw+X/K/Sk4/Jly0Uk4+Hr3tqTy1PBGse4IkezjDMt0c8QRiGkq3YS0s2&#10;jDmHbzbsEm9d/ghn+Ngdc/jZ5a8IyYpJKmFpwjy1PE2+tjGe6MEwbPdGVDUYhhKv2EtLNoyLjti8&#10;9xL52d1Omd87WzFJJSxNmKeWp8nXNsYTPRiG7d6IqgbDUOIVe2nJhnHhYW/uscQlF43jZ1dIuYpJ&#10;SgIBz3tqeQFpG4V6ogfDMNoURcjAMJSUxV5apmGcvPuQz87+4rLP8O/n3X7PR0YOPn7vE6vFVMUk&#10;RQV9gKeWp8/aKtITPRiG1a4oQAeGoYQs9tIyDUOZgxgmJikq6AM8tTx91laRnujBMKx2RQE6MAwl&#10;ZLGXwjCUJFthnlpeWOYW0Z7owTAsdkRBGjAMJWgYhhKUNsxTy9PmbBfnid6JJ54oHl125Phfp/K/&#10;WBpLu5xFh11F4xfRibfZ3FmKBVmWxWlDwwVXSsoZvXgbT1TGGUbYxvbU8sIyt4j2RO+EE04Qjy4L&#10;Zi0NZy3PkIxGyhm9eBtPVIZhaPbbYIynlheWuUW0J3pLly7lo2vu3LkWYGQNZy1PTtg0whk9sa1n&#10;hicqwzDC2HpqeWGZW0Q7o8dHF78wZQFG1nDW8uSETSOc0RPbemZ4ojIMI4yts5YXlnzuaGf0YBi5&#10;d0RBAjAMJWgYhhKUNsxZy9OmbRTnjB4fXfxZKSM2goyzllcMtHQWZ/TEtp4Zr6iMM4wwts5aXljy&#10;uaOd0YNh5N4RBQnAMJSgYRhKUNowZy1Pm7ZRnDN6MAyjfRFdBoahRAzDUILShjlredq0jeKc0YNh&#10;GO2L6DIwDCViGIYSlDbMWcvTpm0U54weDMNoX0SXgWEoEcMwlKC0Yc5anjZtozhn9GAYRvsiugwM&#10;Q4kYhqEEpQ1z1vK0aRvFOaMHwzDaF9FlYBhKxDAMJShtmLOWp03bKM4ZPRiG0b6ILgPDUCKGYShB&#10;acOctTxt2kZxzujBMIz2RXQZGIYSMQxDCUob5qzladM2inNGD4ZhtC+iy8AwlIhhGEpQ2jBnLU+b&#10;tlGcM3owDKN9EV0GhqFEDMNQgtKGOWt52rSN4pzRg2EY7YvoMjAMJWIYhhKUNsxZy9OmbRTnjB4M&#10;w2hfRJeBYSgR19cwXuClE22pyVNMUiOijHHW8pRZW4U5owfDsNoYsXVgGErCYi+t4pcP3nfL7KZb&#10;EO32OU2eYpIaEWWMs5anzNoqzBk9GIbVxoitA8NQEhZ7aRUNI8mNl777aZdr8hST1IgoY5y1PGXW&#10;VmHO6MEwrDZGbB0YhpKw2EsrbRh7ff1KTZ5ikhoRZYyzlqfM2irMGT0YhtXGiK0Dw1ASFntppQ1j&#10;3ynXafIUk9SIKGOctTxl1lZhzujBMKw2RmwdGIaSsNhLK20Yo6d9T5OnmKRGRBnjrOUps7YKc0YP&#10;hmG1MWLrwDCUhMVeWmnDWH//UzV5iklqRJQxzlqeMmurMGf0YBhWGyO2DgxDSVjspRU1jNanpBr/&#10;215MVUxSVNAHOGt5+sRNIp3Rg2GY7IoCRGAYSshiL62oYSjTS8LEJIPUegc7a3mGZDRSzujBMDRF&#10;r0IMDENZBbGXwjCUJFthzlpeWPK5o53Rg2Hk3hEFCcAwlKBhGEpQ2jBnLU+btlGcM3owDKN9EV0G&#10;hqFEDMNQgtKGOWt52rSN4pzRg2EY7YvoMjAMJWIYhhKUNsxZy9OmbRTnjB4Mw2hfRJeBYSgRwzCU&#10;oLRhzlqeNm2jOGf0YBhG+yK6DAxDiRiGoQSlDXPW8rRpG8U5owfDMNoX0WVgGErEMAwlKG2Ys5an&#10;Tdsozhk9GIbRvoguA8NQIoZhKEFpw5y1PG3aRnHO6MEwjPZFdBkYhhIxDEMJShvmrOVp0zaKc0YP&#10;hmG0L6LLwDCUiGEYSlDaMGctT5u2UZwzejAMo30RXQaGoUQMw1CC0oY5a3natI3inNGDYRjti+gy&#10;MAwlYhiGEpQ2zFnL06ZtFOeMHgzDaF9El4FhKBHDMJSgtGHOWp42baM4Z/RgGEb7IroMDEOJGIah&#10;BKUNc9bytGkbxTmjB8Mw2hfRZWAYSsQwDCUobZizlqdN2yjOGT0YhtG+iC4Dw1AihmEoQWnDnLU8&#10;bdpGcc7owTCM9kV0GRiGEjEMQwlKG+as5WnTNopzRg+GYbQvosvAMJSIYRhKUNowZy1Pm7ZRnDN6&#10;MAyjfRFdBoahRAzDUILShjlredq0jeKc0YNhGO2L6DIwDCXiShvGj79zAq+vcdvqox35tB5v/k9M&#10;VRMjiigDnLU8ZdZWYc7owTCsNkZsHRiGkrDYS+V2nM4kainX1ApbvZQF/+Olxm/8w34zrm8fTvRe&#10;vZrxwnpO7Kzl6SGbRDqjB8Mw2RUFiMAwlJDFXlqaYRyxzeDZwxl7d55JEG2vzDDxG31wzkhnLS8n&#10;jdDhzujBMEI3QFnxMAwlebGXBrRaUUu5piTsXW0vNy0+e8+h4ivTl6QmX7ZQlLVdWO/pnLU8ka1t&#10;gDN6MAzb7RFPDYahZCv20tIMY1SbYdw2Za+OhS6+axVn+Pid3+DHl78iJCsmqYSlCXPW8jQpG8Y4&#10;owfDMNwbUaVgGEq8Yi8tzTA+9Y7Bl6Gm7LfO2hbKj+92yvze2YpJKmFpwpy1PE3KhjHO6MEwDPdG&#10;VCkYhhKv2EtLM4w1r97eOHto5sE/HHbp4u6UbrtoHD+1QspVTFISCHjeWcsLyNwi1Bk9GIbFpihC&#10;A4ahpCz20vIMY82aq7++T+u9ilGHcD5PL/4K/zrvwf/cf9P0LQy694nVYqpikqKCPsBZy9MnbhLp&#10;jB4Mw2RXFCACw1BCFntpmYahzEEME5MUFfQBzlqePnGTSGf0YBgmu6IAERiGErLYS2EYSpKtMGct&#10;Lyz53NHO6MEwcu+IggRgGErQMAwlKG2Ys5anTdsozhk9GIbRvoguA8NQIoZhKEFpw5y1PG3aRnHO&#10;6MEwjPZFdBkYhhIxDEMJShvmrOVp0zaKc0YPhmG0L6LLwDCUiGEYSlDaMGctT5u2UZwzejAMo30R&#10;XQaGoUQMw1CC0oY5a3natI3inNGDYRjti+gyMAwlYhiGEpQ2zFnL06ZtFOeMHgzDaF9El4FhKBHD&#10;MJSgtGHOWp42baM4Z/RgGEb7IroMDEOJGIahBKUNc9bytGkbxTmjB8Mw2hfRZWAYSsQwDCUobZiz&#10;lqdN2yjOGT0YhtG+iC4Dw1AihmEoQWnDnLU8bdpGcc7owTCM9kV0GRiGEjEMQwlKG+as5WnTNopz&#10;Rg+GYbQvosvAMJSIYRhKUNowZy1Pm7ZRnDN6MAyjfRFdBoahRAzDUILShjlredq0jeKc0YNhGO2L&#10;6DIwDCViGIYSlDbMWcvTpm0U54weDMNoX0SXgWEoEcMwlKC0Yc5anjZtozhn9GAYRvsiugwMQ4kY&#10;hqEEpQ1LW94qotVEfHVZkztLseASoilEPIV2NXWLc0aPj66JEycWUwSiEUQH0i5n0WFX0fhFdOJt&#10;NneWYkGWZXEaUUwuxc/ijJ7Y1jMTFpUDepOolXmVOQcWubDdic4mWkT0CNFLRK9ZGAaLsBQLsiyL&#10;8xQ5gVR2uDN6vPFOOumkYmgTbUB0AL3v63ToFXTcrXTCEgPDYBGWYkGWZXHaoJhcip/FGb14HU9U&#10;DuhNolbx+yCZsciFvZ/oa0Q/InqY6AWil4leyX1nEZZiQZZlcZ6iLJKx53VGjzfe5MmTY0Mb2OTr&#10;Ef0D7fgV2n8ufe5GOn5h4zzji4uz33k4i7AUC7Isi9N6xeRS/Cycmid68TqeqBzQm0Qtw32wHU/W&#10;vM1aeJ8oW+TCdiKaRHQV0V1EK4geJ3qK6A857jycRViKBVmWxXkKMeWaBjijxxvvlFNOKaYWzaNh&#10;T9pmAn1oFo2dT5+8hj59PR35vex3Hs4iLMWCLMvifjeeM3rxKiUqB/QmUcvqyJlxyKbJXC/+/AL+&#10;4RlJt7CF8UK2JPo02xjRdc1XkJYS3U60LMedh7MIS7Egy7I4TyFlXNfnndFL/qYpphjNqUbRBp+g&#10;vzqZdj6TPjCNdp9Oe8zIfufhLMJSLMiyLF5ULsUQa5/FGb14lRKVA7a7qGW1D3iid02Yl77cNGLs&#10;V3srF7YwXsafEX2Q6CiirxJNJ5pNdGHuO4uwFAuyLIvzFFYkq6bjjF7hhsFvY/BJ2mha92AaMY7e&#10;cDht9Mnsdx7OIizFgg1ZFne78ZqV8kMvXqVE5YAtImpZtSeeaNKNv00Ng7bYvzqGwWtbn+idzbem&#10;922+7jsm951FWIoFWZbFC+NsVS+9jjN6hRtGMuGGRG8m2oLorURvy3Hn4SzCUizYuulLWa/INEEf&#10;9OK1CFG5ooYx+Ue/0xvGxRdffMkll8yZM2fmzJnTp0+fOnXqlClTzsl9YxGWYsELLrhg/vz5N910&#10;00MPPfTiiy/GPlR4Cp6Ip+NJeWrDjHIjCRBwRo/T4UJceOGFCxYsuOeee5544gneBqlhPPzww7fc&#10;csu3vvUt3oHTpk3Lv/1445177rmzZ8+eN2/eDTfc8MADDzz11FOxNx5PwRPxdDwpT80L4GUElLwy&#10;oc7opYcS7y7uctzruONF2gx1NYxjr/6l/iUpPowj4YMsCPQgUOQZBgoBAimBeB2vloZx3qF8mhzw&#10;pvf555+PzQQCxROAYRTPHDMygXgdr5aGkZ7s8+ovWPxrcYvwawViDAJAwJwADMMcKQQ1BOJ1vLoa&#10;hoZaGsMvWQbFIxgETAjAMEwwQiSUQLyO1xeGwW8KhRJHPAjkJwDDyM8QChkIxOt4fWEY/OmMDNAx&#10;BARyEoBh5ASI4dkIxOt4MIxsFcEoEJAJwDBkRoiIQACGkQtqPHy5loXB3gnAMLxXuKL5xet4OMOo&#10;aMmxLAcEYBgOiljHFGAYuaoWD1/7so7dudEfkkcO5m9kaN4mXP3TNOaFu89v+waCweAk4KaZH+vl&#10;3r//Pj/7WjPy5bvOben82ftzcanSYM7oPRMuSVaUUmpf4Ic62NFftT/buzWfxBdmavsepIeWfIN/&#10;3fGL34gNoBjDePXRa3miPzWTeeGB+QOc3tzNJ0X4zftfaHv2WX589LTvrY0GP/v+f57XozSxMUbV&#10;bz9sD+IvQ2nexn/3xz3oXfrA/7Y9y18nTXuffc3wi3zyB/zsq4PP8bUOOg/8GNnF63i9elRy8Orz&#10;EbX0UraR8fCl65x9TOPLn1sE/nATrb8HP3Xirp2b45h30luO/pceR+ZanvrNkH226u6HbQGVrZZk&#10;lxx1k/bY9rxlKxPbOGjOrR3H7VpX+qcb+FsZh332yjM+3k7vmkkNY7/2oecKSLqA7vDa44vbZ2nt&#10;wD/ylVM6jtwf9zg8D38bpd+104Hlz5vqB8y8MXn8S19ZS2csgGaEKToP2/V250nGt/3l15rzNf62&#10;6LV2woM2oeOu+dVwq+NrnrV3gOf5l3V3PzpCHp2S8Tqe2ORhGNr6zjhoM3rrAe3R0/bf7vP/dlf7&#10;IxPek2yhwW2U/Pz2z30zaZGt24g9u2blK7S2anHzGfyVtY3bVp89V7u4ysdxOj/4w5BVdm/NQT4D&#10;KFocjp27Zs396bOX3v9MR7qXfWEUjToyeTANm3H7f8WmMrRfxJvt512sfk30lqHzNWKS28hPzuan&#10;nl3WOk/l09Z/5gtXDdy6V8nPLG59QdqrPcLipRdVufuwPfuj7/iny28fOilfjKZ1S/7gax2BzX04&#10;foce9J5OS7PVYNTOUTNicRhGLsLx8LUv64Jxb6etD0kfWbXwoiNm/KC9Q/HPJ7x7yBlG80+Z1i2J&#10;TM5e+YfpV54z9OB8sqspNFrA3bnAVGgw53Lr/wyu54Cttn9+aH9PsLSvuHF9hoHbM880zv352fvm&#10;Hs4/fGlc44opfPvouf/OD1554vto52MaY/+v9af3onP27uJpTyNZg71up+J9HbNssEHyWiVfCT7d&#10;XXd2xLTBe8upe677l8dc2tqr2zdfv2tbOf+Yts9XBory+gNOi59XETN0H7bjpl7PE181obW/zlzK&#10;3+q4fAi931ycIrrwvmfYbjf9VMODGw920uNLZbY2QPsP90fOLF7HE/dzwHYXtSJTWqt8PHztU848&#10;dAva8qDkkSO3f8eka+/kH44Z/dn2GD73pzFfSx9hYof+y+Crpe1bKnlJuu323514V/N1lWjp/5UF&#10;1XhezuXmxCIaB17rUqAHfa71rsbA4/R027Q85JBv3jbwwIMJn2Wz+NLTnZv28mN3oB0+04zkSxc2&#10;nv3BaY2/EY1z6JJrb7sx5/p5msvv756//kZ78lzPLVrws/YpX7652zDS57/8gXU+9s1lTfK07bFD&#10;mCcPLmx/0T7pjPsUdK3ymNwa2u2H7affuc2EKxvm+NkPf2rIvI0XPAd3y32Xjmv/9Ys70kdnLV4L&#10;vcY7HOnuPWfZk0lY8mZkvFu8jiceNQEHlagVD1Bv5Xj40nmfu4evctS4HTjr6vbzhnYm3zq6dVa6&#10;5dED357bbPrN29Ystd3m27d+2/mIjowGwhrlSH8+csYVZSG1nffv+MJJzVt7do3f33ZgOlGa9R/T&#10;h168beDB7V783S077998y4gvZPvrwRCOffWhucnjn2i6S+MyQM3b4sdfts2iWy1NKupEKZkX7+br&#10;bA3evvf7tC/xRX4HCSeLOXWv5NIq9NWb7zj3M4fv/I7OgCTswNapWqM0l3wmfVllq6gZFSaeHrYH&#10;zLxqbYftmjWttyIYUPdu5EfOHnfQqIEPufQ4bH911fgE8UZjvxQ7wXgdrx3CsFnAMGIXF/puCRRj&#10;GG7xIbGsBGAYWck1x8XDl2tZGOydAAzDe4Urml+8joczjIqWHMtyQACG4aCIdUwBhpGravHw5VoW&#10;BnsnAMPwXuGK5hev4+EMo6Ilx7IcEIBhOChiHVOAYeSqWjx8uZaFwd4JwDC8V7ii+cXreDjDqGjJ&#10;sSwHBGAYDopYxxRgGLmqFg9frmVhsHcCMAzvFa5ofvE6Hs4wKlpyLMsBARiGgyLWMQUYRq6qxcOX&#10;a1kY7J0ADMN7hSuaX7yOhzOMipYcy3JAAIbhoIh1TAGGkatq8fDlWhYGeycAw/Be4YrmF6/j4Qyj&#10;oiXvXlb6/XHJD90Xc+hoTwO/PtSjxhP33SSVNQHxrqGrfPfExnU+etx8t1Tf2WXbMI/ecHJrj+x7&#10;Kit07Or2XxP9T2/ZEdL45vazjv5w+uiVv1yVbSWOR8EwchU3Hr5cywofzAdJ8nXm2/FPe03uFFj1&#10;nSHe8L8/JFpH7NfKVWw16pPKyM9vR1t98XIOXnjGPhsfdp4wqutrt5Wz1CIMhjFsmW46fa/1Dp6W&#10;PpVu2vbd246u4y+en54/hh+5fVXj2jHJJWlrsRmKXGS8jifSDiiGqFUksva54uErOKOOv7+SX8e8&#10;qfHf6XfzVZqXpQHNCyvxRejemlyKLlln98nEojmNy5fueuixScAzt09LYpLvB+/40y7RSR+88ZEX&#10;nrn/xm7N7qsKpmcxHZrNSVaywhsGVJ67d1Z7pygYr/l0nnIxhMPXNO24pfuzfRaO+U7z5KF723/3&#10;vw2X41AqXscTmzwMo0L7KW3lrTU1rusykn/+G6KZP+eraLa84Yl/P6FZ11+yFyTHG//3nfy/fb+0&#10;5rWGqXSk9PmPbN1hBvwrXx7gbUdftGbNS/zzypULiEbxqN2INjuycTGPp5dOSYcctWB5u+BJ76VR&#10;X76+owU0Zm/OO230OkRvSleV6NOIjyTxy2cfQ+u/+ZzLFlYIeo6lwDCGhXfwprTxpwYuCdN2IcWO&#10;ncm/zm9c3L3zSov8+GW/Sy79h9vwBGAYuXZGPHy5lhU+mA+VIRd3XDk/7doz7uELnN6b/LrquuOb&#10;PzxA9Dfp8da4NtNbxqxtTr6C0aqGwQx6SeMyz+/9/ED8L5KndiHa5IhZ/MMffzo1nfreoaL/tA3R&#10;X7euM5jEbMZH/p3XJT/PHvum95z+ww7DWHTtV9g0UpnNiY759pJwPJUbAcMYtiT7rEu03xnpU+mu&#10;4x8eHni0HR3/zKfP6e3DzcttJb/+z8OtfVW52pe6oHgdr8PUu7PEGUaplW+bPDmE+DZ16SMDD/82&#10;fZB/WLZswW4f2z15ZNGqxjWc229Jj27eNk1V3zrw0Bv+/vhGN//4XyQPnLVkxWD8Zvs1vadxaxMh&#10;vojsfhu2xu875bpEc8ehk86/+7H2IR1L6v510f3XJg9e/yBfSLn2txRa7TOxS2D0Rq2yz/vNS2vW&#10;/GePLZHMmQa0X0Zxty0Gx+FN7+7iwDBybdh4+HItC4O9E4BheK9wRfOL1/GSvxp73DycYUydOrWi&#10;hcWyXBPgo+vMM890nSKSqyKBeB2vLwzjvPOkD3dWsehYU+0J/OQnP6l9DkighgTidby+MIxLLrmk&#10;hkXHkmtP4IYbbqh9DkighgTidby+MIwaVhxLBgEQAIHKEYBhVK4kWBAIgAAIVJMADKOadcGqQAAE&#10;QKByBIwNQ/ygPQJAAARAAATqS6C3iQV8rLZybogFgQAIgAAIFEgAhlEgbEwFAiAAAnUmAMOoc/Ww&#10;dhAAARAokAAMo0DYmAoEQAAE6kwAhlHn6mHtIAACIFAgARhGgbAxFQiAAAjUmcD/A5E+T1VXKyw0&#10;AAAAAElFTkSuQmCCUEsBAi0AFAAGAAgAAAAhALGCZ7YKAQAAEwIAABMAAAAAAAAAAAAAAAAAAAAA&#10;AFtDb250ZW50X1R5cGVzXS54bWxQSwECLQAUAAYACAAAACEAOP0h/9YAAACUAQAACwAAAAAAAAAA&#10;AAAAAAA7AQAAX3JlbHMvLnJlbHNQSwECLQAUAAYACAAAACEAPPuqkzMDAACHBwAADgAAAAAAAAAA&#10;AAAAAAA6AgAAZHJzL2Uyb0RvYy54bWxQSwECLQAUAAYACAAAACEAqiYOvrwAAAAhAQAAGQAAAAAA&#10;AAAAAAAAAACZBQAAZHJzL19yZWxzL2Uyb0RvYy54bWwucmVsc1BLAQItABQABgAIAAAAIQBKeWxj&#10;3AAAAAUBAAAPAAAAAAAAAAAAAAAAAIwGAABkcnMvZG93bnJldi54bWxQSwECLQAKAAAAAAAAACEA&#10;44Q90u4tAADuLQAAFAAAAAAAAAAAAAAAAACVBwAAZHJzL21lZGlhL2ltYWdlMS5wbmdQSwUGAAAA&#10;AAYABgB8AQAAt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96;height:28003;visibility:visible;mso-wrap-style:square">
                        <v:fill o:detectmouseclick="t"/>
                        <v:path o:connecttype="none"/>
                      </v:shape>
                      <v:shape id="Picture 5" o:spid="_x0000_s1028" type="#_x0000_t75" style="position:absolute;width:57003;height:28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0WrPDAAAA2gAAAA8AAABkcnMvZG93bnJldi54bWxEj0FrwkAUhO+C/2F5gjfdKKE00VVEKban&#10;0ih4fWafyWL2bchuNfbXdwsFj8PMfMMs171txI06bxwrmE0TEMSl04YrBcfD2+QVhA/IGhvHpOBB&#10;Htar4WCJuXZ3/qJbESoRIexzVFCH0OZS+rImi37qWuLoXVxnMUTZVVJ3eI9w28h5krxIi4bjQo0t&#10;bWsqr8W3VWAeOzO7HNPTx8+5SO0uzYrPfabUeNRvFiAC9eEZ/m+/awUp/F2JN0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LRas8MAAADaAAAADwAAAAAAAAAAAAAAAACf&#10;AgAAZHJzL2Rvd25yZXYueG1sUEsFBgAAAAAEAAQA9wAAAI8DAAAAAA==&#10;">
                        <v:imagedata r:id="rId12" o:title=""/>
                      </v:shape>
                      <w10:anchorlock/>
                    </v:group>
                  </w:pict>
                </mc:Fallback>
              </mc:AlternateContent>
            </w:r>
          </w:p>
        </w:tc>
      </w:tr>
      <w:tr w:rsidR="00356BBB" w:rsidTr="00356BBB">
        <w:tc>
          <w:tcPr>
            <w:tcW w:w="9242" w:type="dxa"/>
          </w:tcPr>
          <w:p w:rsidR="00356BBB" w:rsidRDefault="00786373" w:rsidP="007206A8">
            <w:pPr>
              <w:spacing w:line="360" w:lineRule="auto"/>
              <w:jc w:val="both"/>
              <w:rPr>
                <w:rFonts w:cstheme="minorHAnsi"/>
                <w:sz w:val="24"/>
                <w:szCs w:val="24"/>
              </w:rPr>
            </w:pPr>
            <w:r>
              <w:rPr>
                <w:rFonts w:cstheme="minorHAnsi"/>
                <w:sz w:val="24"/>
                <w:szCs w:val="24"/>
              </w:rPr>
              <w:t xml:space="preserve">Source: </w:t>
            </w:r>
            <w:r w:rsidRPr="00786373">
              <w:rPr>
                <w:rFonts w:cstheme="minorHAnsi"/>
                <w:i/>
                <w:sz w:val="24"/>
                <w:szCs w:val="24"/>
              </w:rPr>
              <w:t>Economic Survey, 2016-17</w:t>
            </w:r>
            <w:r>
              <w:rPr>
                <w:rFonts w:cstheme="minorHAnsi"/>
                <w:sz w:val="24"/>
                <w:szCs w:val="24"/>
              </w:rPr>
              <w:t xml:space="preserve">, Government of India. </w:t>
            </w:r>
          </w:p>
        </w:tc>
      </w:tr>
    </w:tbl>
    <w:p w:rsidR="007206A8" w:rsidRPr="005E58DF" w:rsidRDefault="007206A8" w:rsidP="007206A8">
      <w:pPr>
        <w:spacing w:after="0" w:line="360" w:lineRule="auto"/>
        <w:jc w:val="both"/>
        <w:rPr>
          <w:sz w:val="24"/>
          <w:szCs w:val="24"/>
        </w:rPr>
      </w:pPr>
      <w:r>
        <w:rPr>
          <w:rFonts w:cstheme="minorHAnsi"/>
          <w:sz w:val="24"/>
          <w:szCs w:val="24"/>
        </w:rPr>
        <w:t xml:space="preserve"> </w:t>
      </w:r>
    </w:p>
    <w:p w:rsidR="00D92F61" w:rsidRPr="00D92F61" w:rsidRDefault="00786373" w:rsidP="005627E9">
      <w:pPr>
        <w:spacing w:after="0" w:line="360" w:lineRule="auto"/>
        <w:jc w:val="both"/>
        <w:rPr>
          <w:rFonts w:cstheme="minorHAnsi"/>
          <w:b/>
          <w:sz w:val="24"/>
          <w:szCs w:val="24"/>
        </w:rPr>
      </w:pPr>
      <w:r w:rsidRPr="00D92F61">
        <w:rPr>
          <w:rFonts w:cstheme="minorHAnsi"/>
          <w:b/>
          <w:sz w:val="24"/>
          <w:szCs w:val="24"/>
        </w:rPr>
        <w:t xml:space="preserve">Why did it happen? </w:t>
      </w:r>
    </w:p>
    <w:p w:rsidR="00786373" w:rsidRDefault="00D92F61" w:rsidP="005627E9">
      <w:pPr>
        <w:spacing w:after="0" w:line="360" w:lineRule="auto"/>
        <w:jc w:val="both"/>
        <w:rPr>
          <w:rFonts w:cstheme="minorHAnsi"/>
          <w:sz w:val="24"/>
          <w:szCs w:val="24"/>
          <w:lang w:val="en-GB"/>
        </w:rPr>
      </w:pPr>
      <w:r>
        <w:rPr>
          <w:rFonts w:cstheme="minorHAnsi"/>
          <w:sz w:val="24"/>
          <w:szCs w:val="24"/>
        </w:rPr>
        <w:tab/>
      </w:r>
      <w:r w:rsidR="00786373" w:rsidRPr="005627E9">
        <w:rPr>
          <w:rFonts w:cstheme="minorHAnsi"/>
          <w:sz w:val="24"/>
          <w:szCs w:val="24"/>
        </w:rPr>
        <w:t>Number of reasons may be cited in this connection.</w:t>
      </w:r>
      <w:r w:rsidR="005627E9" w:rsidRPr="005627E9">
        <w:rPr>
          <w:rFonts w:cstheme="minorHAnsi"/>
          <w:sz w:val="24"/>
          <w:szCs w:val="24"/>
        </w:rPr>
        <w:t xml:space="preserve"> Following are important in particular: (a) </w:t>
      </w:r>
      <w:r w:rsidR="00F44764">
        <w:rPr>
          <w:rFonts w:cstheme="minorHAnsi"/>
          <w:sz w:val="24"/>
          <w:szCs w:val="24"/>
        </w:rPr>
        <w:t xml:space="preserve">relaxation </w:t>
      </w:r>
      <w:r w:rsidR="00F44764" w:rsidRPr="005627E9">
        <w:rPr>
          <w:rFonts w:cstheme="minorHAnsi"/>
          <w:sz w:val="24"/>
          <w:szCs w:val="24"/>
          <w:lang w:val="en-GB"/>
        </w:rPr>
        <w:t xml:space="preserve">credit norms </w:t>
      </w:r>
      <w:r w:rsidR="008C0E23">
        <w:rPr>
          <w:rFonts w:cstheme="minorHAnsi"/>
          <w:sz w:val="24"/>
          <w:szCs w:val="24"/>
          <w:lang w:val="en-GB"/>
        </w:rPr>
        <w:t xml:space="preserve">by the RBI </w:t>
      </w:r>
      <w:r w:rsidR="00F44764" w:rsidRPr="005627E9">
        <w:rPr>
          <w:rFonts w:cstheme="minorHAnsi"/>
          <w:sz w:val="24"/>
          <w:szCs w:val="24"/>
          <w:lang w:val="en-GB"/>
        </w:rPr>
        <w:t>in order to encourage bank lending</w:t>
      </w:r>
      <w:r w:rsidR="00F44764">
        <w:rPr>
          <w:rFonts w:cstheme="minorHAnsi"/>
          <w:sz w:val="24"/>
          <w:szCs w:val="24"/>
        </w:rPr>
        <w:t xml:space="preserve"> </w:t>
      </w:r>
      <w:r w:rsidR="00786373" w:rsidRPr="005627E9">
        <w:rPr>
          <w:rFonts w:cstheme="minorHAnsi"/>
          <w:sz w:val="24"/>
          <w:szCs w:val="24"/>
          <w:lang w:val="en-GB"/>
        </w:rPr>
        <w:t>after the global financial crisis</w:t>
      </w:r>
      <w:r w:rsidR="005627E9" w:rsidRPr="005627E9">
        <w:rPr>
          <w:rFonts w:cstheme="minorHAnsi"/>
          <w:sz w:val="24"/>
          <w:szCs w:val="24"/>
          <w:lang w:val="en-GB"/>
        </w:rPr>
        <w:t xml:space="preserve">; (b) </w:t>
      </w:r>
      <w:r w:rsidR="00786373" w:rsidRPr="005627E9">
        <w:rPr>
          <w:rFonts w:cstheme="minorHAnsi"/>
          <w:sz w:val="24"/>
          <w:szCs w:val="24"/>
          <w:lang w:val="en-GB"/>
        </w:rPr>
        <w:t xml:space="preserve">the sharp fall in commodity prices </w:t>
      </w:r>
      <w:r w:rsidR="008C0E23">
        <w:rPr>
          <w:rFonts w:cstheme="minorHAnsi"/>
          <w:sz w:val="24"/>
          <w:szCs w:val="24"/>
          <w:lang w:val="en-GB"/>
        </w:rPr>
        <w:t xml:space="preserve">since 2009 </w:t>
      </w:r>
      <w:r w:rsidR="00786373" w:rsidRPr="005627E9">
        <w:rPr>
          <w:rFonts w:cstheme="minorHAnsi"/>
          <w:sz w:val="24"/>
          <w:szCs w:val="24"/>
          <w:lang w:val="en-GB"/>
        </w:rPr>
        <w:t>le</w:t>
      </w:r>
      <w:r w:rsidR="008C0E23">
        <w:rPr>
          <w:rFonts w:cstheme="minorHAnsi"/>
          <w:sz w:val="24"/>
          <w:szCs w:val="24"/>
          <w:lang w:val="en-GB"/>
        </w:rPr>
        <w:t>a</w:t>
      </w:r>
      <w:r w:rsidR="00786373" w:rsidRPr="005627E9">
        <w:rPr>
          <w:rFonts w:cstheme="minorHAnsi"/>
          <w:sz w:val="24"/>
          <w:szCs w:val="24"/>
          <w:lang w:val="en-GB"/>
        </w:rPr>
        <w:t>d</w:t>
      </w:r>
      <w:r w:rsidR="008C0E23">
        <w:rPr>
          <w:rFonts w:cstheme="minorHAnsi"/>
          <w:sz w:val="24"/>
          <w:szCs w:val="24"/>
          <w:lang w:val="en-GB"/>
        </w:rPr>
        <w:t xml:space="preserve">ing </w:t>
      </w:r>
      <w:r w:rsidR="00786373" w:rsidRPr="005627E9">
        <w:rPr>
          <w:rFonts w:cstheme="minorHAnsi"/>
          <w:sz w:val="24"/>
          <w:szCs w:val="24"/>
          <w:lang w:val="en-GB"/>
        </w:rPr>
        <w:t xml:space="preserve">to sharp declines in the profitability of sectors such as steel </w:t>
      </w:r>
      <w:r w:rsidR="008C0E23">
        <w:rPr>
          <w:rFonts w:cstheme="minorHAnsi"/>
          <w:sz w:val="24"/>
          <w:szCs w:val="24"/>
          <w:lang w:val="en-GB"/>
        </w:rPr>
        <w:t xml:space="preserve">and </w:t>
      </w:r>
      <w:r w:rsidR="00786373" w:rsidRPr="005627E9">
        <w:rPr>
          <w:rFonts w:cstheme="minorHAnsi"/>
          <w:sz w:val="24"/>
          <w:szCs w:val="24"/>
          <w:lang w:val="en-GB"/>
        </w:rPr>
        <w:t>causing the problem of unpaid debt to banks from these and associated sectors</w:t>
      </w:r>
      <w:r w:rsidR="005627E9" w:rsidRPr="005627E9">
        <w:rPr>
          <w:rFonts w:cstheme="minorHAnsi"/>
          <w:sz w:val="24"/>
          <w:szCs w:val="24"/>
          <w:lang w:val="en-GB"/>
        </w:rPr>
        <w:t xml:space="preserve">; (c) </w:t>
      </w:r>
      <w:r w:rsidR="00786373" w:rsidRPr="005627E9">
        <w:rPr>
          <w:rFonts w:cstheme="minorHAnsi"/>
          <w:sz w:val="24"/>
          <w:szCs w:val="24"/>
          <w:lang w:val="en-GB"/>
        </w:rPr>
        <w:t>the government thrust on infrastructure investment through public-private-partnerships (PPP) le</w:t>
      </w:r>
      <w:r w:rsidR="008C0E23">
        <w:rPr>
          <w:rFonts w:cstheme="minorHAnsi"/>
          <w:sz w:val="24"/>
          <w:szCs w:val="24"/>
          <w:lang w:val="en-GB"/>
        </w:rPr>
        <w:t>a</w:t>
      </w:r>
      <w:r w:rsidR="00786373" w:rsidRPr="005627E9">
        <w:rPr>
          <w:rFonts w:cstheme="minorHAnsi"/>
          <w:sz w:val="24"/>
          <w:szCs w:val="24"/>
          <w:lang w:val="en-GB"/>
        </w:rPr>
        <w:t>d</w:t>
      </w:r>
      <w:r w:rsidR="008C0E23">
        <w:rPr>
          <w:rFonts w:cstheme="minorHAnsi"/>
          <w:sz w:val="24"/>
          <w:szCs w:val="24"/>
          <w:lang w:val="en-GB"/>
        </w:rPr>
        <w:t>ing</w:t>
      </w:r>
      <w:r w:rsidR="00786373" w:rsidRPr="005627E9">
        <w:rPr>
          <w:rFonts w:cstheme="minorHAnsi"/>
          <w:sz w:val="24"/>
          <w:szCs w:val="24"/>
          <w:lang w:val="en-GB"/>
        </w:rPr>
        <w:t xml:space="preserve"> to huge new debt being contracted by highly leveraged Indian corporate entities investing in infrastructure</w:t>
      </w:r>
      <w:r w:rsidR="005627E9" w:rsidRPr="005627E9">
        <w:rPr>
          <w:rFonts w:cstheme="minorHAnsi"/>
          <w:sz w:val="24"/>
          <w:szCs w:val="24"/>
          <w:lang w:val="en-GB"/>
        </w:rPr>
        <w:t xml:space="preserve">; and (d) </w:t>
      </w:r>
      <w:r w:rsidR="008C0E23">
        <w:rPr>
          <w:rFonts w:cstheme="minorHAnsi"/>
          <w:sz w:val="24"/>
          <w:szCs w:val="24"/>
          <w:lang w:val="en-GB"/>
        </w:rPr>
        <w:lastRenderedPageBreak/>
        <w:t>in</w:t>
      </w:r>
      <w:r w:rsidR="00786373" w:rsidRPr="005627E9">
        <w:rPr>
          <w:rFonts w:cstheme="minorHAnsi"/>
          <w:sz w:val="24"/>
          <w:szCs w:val="24"/>
          <w:lang w:val="en-GB"/>
        </w:rPr>
        <w:t xml:space="preserve">stances of governance issues with the management of select public </w:t>
      </w:r>
      <w:r w:rsidR="00786373" w:rsidRPr="004C58A8">
        <w:rPr>
          <w:rFonts w:cstheme="minorHAnsi"/>
          <w:sz w:val="24"/>
          <w:szCs w:val="24"/>
          <w:lang w:val="en-GB"/>
        </w:rPr>
        <w:t>sector banks and cases of political interference</w:t>
      </w:r>
      <w:r w:rsidR="005627E9" w:rsidRPr="004C58A8">
        <w:rPr>
          <w:rFonts w:cstheme="minorHAnsi"/>
          <w:sz w:val="24"/>
          <w:szCs w:val="24"/>
          <w:lang w:val="en-GB"/>
        </w:rPr>
        <w:t xml:space="preserve"> </w:t>
      </w:r>
      <w:r w:rsidR="005627E9" w:rsidRPr="004C58A8">
        <w:rPr>
          <w:rFonts w:cstheme="minorHAnsi"/>
          <w:sz w:val="24"/>
          <w:szCs w:val="24"/>
        </w:rPr>
        <w:t>(Mohan and Ray, 2017).</w:t>
      </w:r>
      <w:r w:rsidR="005627E9" w:rsidRPr="004C58A8">
        <w:rPr>
          <w:rStyle w:val="FootnoteReference"/>
          <w:rFonts w:cstheme="minorHAnsi"/>
          <w:sz w:val="24"/>
          <w:szCs w:val="24"/>
        </w:rPr>
        <w:footnoteReference w:id="1"/>
      </w:r>
      <w:r w:rsidR="005627E9" w:rsidRPr="004C58A8">
        <w:rPr>
          <w:rFonts w:cstheme="minorHAnsi"/>
          <w:sz w:val="24"/>
          <w:szCs w:val="24"/>
        </w:rPr>
        <w:t xml:space="preserve"> </w:t>
      </w:r>
      <w:r w:rsidR="00786373" w:rsidRPr="004C58A8">
        <w:rPr>
          <w:rFonts w:cstheme="minorHAnsi"/>
          <w:sz w:val="24"/>
          <w:szCs w:val="24"/>
          <w:lang w:val="en-GB"/>
        </w:rPr>
        <w:t xml:space="preserve"> </w:t>
      </w:r>
    </w:p>
    <w:p w:rsidR="005C6C41" w:rsidRDefault="005C6C41" w:rsidP="005627E9">
      <w:pPr>
        <w:spacing w:after="0" w:line="360" w:lineRule="auto"/>
        <w:jc w:val="both"/>
        <w:rPr>
          <w:rFonts w:cstheme="minorHAnsi"/>
          <w:b/>
          <w:sz w:val="24"/>
          <w:szCs w:val="24"/>
          <w:lang w:val="en-GB"/>
        </w:rPr>
      </w:pPr>
    </w:p>
    <w:p w:rsidR="00D92F61" w:rsidRPr="00D92F61" w:rsidRDefault="00D92F61" w:rsidP="005627E9">
      <w:pPr>
        <w:spacing w:after="0" w:line="360" w:lineRule="auto"/>
        <w:jc w:val="both"/>
        <w:rPr>
          <w:rFonts w:cstheme="minorHAnsi"/>
          <w:b/>
          <w:sz w:val="24"/>
          <w:szCs w:val="24"/>
          <w:lang w:val="en-GB"/>
        </w:rPr>
      </w:pPr>
      <w:r w:rsidRPr="00D92F61">
        <w:rPr>
          <w:rFonts w:cstheme="minorHAnsi"/>
          <w:b/>
          <w:sz w:val="24"/>
          <w:szCs w:val="24"/>
          <w:lang w:val="en-GB"/>
        </w:rPr>
        <w:t>Twin Balance Sheet Problem</w:t>
      </w:r>
    </w:p>
    <w:p w:rsidR="004C58A8" w:rsidRDefault="005627E9" w:rsidP="005627E9">
      <w:pPr>
        <w:spacing w:after="0" w:line="360" w:lineRule="auto"/>
        <w:jc w:val="both"/>
        <w:rPr>
          <w:rFonts w:cstheme="minorHAnsi"/>
          <w:sz w:val="24"/>
          <w:szCs w:val="24"/>
        </w:rPr>
      </w:pPr>
      <w:r w:rsidRPr="004C58A8">
        <w:rPr>
          <w:rFonts w:cstheme="minorHAnsi"/>
          <w:sz w:val="24"/>
          <w:szCs w:val="24"/>
        </w:rPr>
        <w:tab/>
        <w:t>Economic Survey, 2016-17 in this context flagged the issue of "the Festering Twin Balance Sheet Problem", whereby along with the deteri</w:t>
      </w:r>
      <w:r w:rsidR="004C58A8" w:rsidRPr="004C58A8">
        <w:rPr>
          <w:rFonts w:cstheme="minorHAnsi"/>
          <w:sz w:val="24"/>
          <w:szCs w:val="24"/>
        </w:rPr>
        <w:t>oration of banking sector balance sheet, "</w:t>
      </w:r>
      <w:r w:rsidRPr="004C58A8">
        <w:rPr>
          <w:rFonts w:cstheme="minorHAnsi"/>
          <w:sz w:val="24"/>
          <w:szCs w:val="24"/>
        </w:rPr>
        <w:t>around 40 percent</w:t>
      </w:r>
      <w:r w:rsidR="004C58A8" w:rsidRPr="004C58A8">
        <w:rPr>
          <w:rFonts w:cstheme="minorHAnsi"/>
          <w:sz w:val="24"/>
          <w:szCs w:val="24"/>
        </w:rPr>
        <w:t xml:space="preserve"> </w:t>
      </w:r>
      <w:r w:rsidRPr="004C58A8">
        <w:rPr>
          <w:rFonts w:cstheme="minorHAnsi"/>
          <w:sz w:val="24"/>
          <w:szCs w:val="24"/>
        </w:rPr>
        <w:t>of the corporate debt it monitored was owed</w:t>
      </w:r>
      <w:r w:rsidR="004C58A8" w:rsidRPr="004C58A8">
        <w:rPr>
          <w:rFonts w:cstheme="minorHAnsi"/>
          <w:sz w:val="24"/>
          <w:szCs w:val="24"/>
        </w:rPr>
        <w:t xml:space="preserve"> </w:t>
      </w:r>
      <w:r w:rsidRPr="004C58A8">
        <w:rPr>
          <w:rFonts w:cstheme="minorHAnsi"/>
          <w:sz w:val="24"/>
          <w:szCs w:val="24"/>
        </w:rPr>
        <w:t>by companies which had an interest coverage</w:t>
      </w:r>
      <w:r w:rsidR="004C58A8" w:rsidRPr="004C58A8">
        <w:rPr>
          <w:rFonts w:cstheme="minorHAnsi"/>
          <w:sz w:val="24"/>
          <w:szCs w:val="24"/>
        </w:rPr>
        <w:t xml:space="preserve"> </w:t>
      </w:r>
      <w:r w:rsidRPr="004C58A8">
        <w:rPr>
          <w:rFonts w:cstheme="minorHAnsi"/>
          <w:sz w:val="24"/>
          <w:szCs w:val="24"/>
        </w:rPr>
        <w:t>ratio less than 1, meaning they did not earn</w:t>
      </w:r>
      <w:r w:rsidR="004C58A8" w:rsidRPr="004C58A8">
        <w:rPr>
          <w:rFonts w:cstheme="minorHAnsi"/>
          <w:sz w:val="24"/>
          <w:szCs w:val="24"/>
        </w:rPr>
        <w:t xml:space="preserve"> </w:t>
      </w:r>
      <w:r w:rsidRPr="004C58A8">
        <w:rPr>
          <w:rFonts w:cstheme="minorHAnsi"/>
          <w:sz w:val="24"/>
          <w:szCs w:val="24"/>
        </w:rPr>
        <w:t>enough to pay the interest obligations on</w:t>
      </w:r>
      <w:r w:rsidR="004C58A8" w:rsidRPr="004C58A8">
        <w:rPr>
          <w:rFonts w:cstheme="minorHAnsi"/>
          <w:sz w:val="24"/>
          <w:szCs w:val="24"/>
        </w:rPr>
        <w:t xml:space="preserve"> </w:t>
      </w:r>
      <w:r w:rsidRPr="004C58A8">
        <w:rPr>
          <w:rFonts w:cstheme="minorHAnsi"/>
          <w:sz w:val="24"/>
          <w:szCs w:val="24"/>
        </w:rPr>
        <w:t>their loans</w:t>
      </w:r>
      <w:r w:rsidR="004C58A8" w:rsidRPr="004C58A8">
        <w:rPr>
          <w:rFonts w:cstheme="minorHAnsi"/>
          <w:sz w:val="24"/>
          <w:szCs w:val="24"/>
        </w:rPr>
        <w:t>"</w:t>
      </w:r>
      <w:r w:rsidR="008C0E23">
        <w:rPr>
          <w:rFonts w:cstheme="minorHAnsi"/>
          <w:sz w:val="24"/>
          <w:szCs w:val="24"/>
        </w:rPr>
        <w:t xml:space="preserve"> (Chart 3).</w:t>
      </w:r>
      <w:r w:rsidR="004C58A8" w:rsidRPr="004C58A8">
        <w:rPr>
          <w:rFonts w:cstheme="minorHAnsi"/>
          <w:sz w:val="24"/>
          <w:szCs w:val="24"/>
        </w:rPr>
        <w:t xml:space="preserve"> </w:t>
      </w:r>
      <w:r w:rsidR="004C58A8">
        <w:rPr>
          <w:rFonts w:cstheme="minorHAnsi"/>
          <w:sz w:val="24"/>
          <w:szCs w:val="24"/>
        </w:rPr>
        <w:t xml:space="preserve"> </w:t>
      </w:r>
    </w:p>
    <w:tbl>
      <w:tblPr>
        <w:tblStyle w:val="TableGrid"/>
        <w:tblW w:w="0" w:type="auto"/>
        <w:tblLook w:val="04A0" w:firstRow="1" w:lastRow="0" w:firstColumn="1" w:lastColumn="0" w:noHBand="0" w:noVBand="1"/>
      </w:tblPr>
      <w:tblGrid>
        <w:gridCol w:w="9242"/>
      </w:tblGrid>
      <w:tr w:rsidR="004C58A8" w:rsidTr="004C58A8">
        <w:tc>
          <w:tcPr>
            <w:tcW w:w="9242" w:type="dxa"/>
          </w:tcPr>
          <w:p w:rsidR="004C58A8" w:rsidRPr="004C58A8" w:rsidRDefault="004C58A8" w:rsidP="004C58A8">
            <w:pPr>
              <w:autoSpaceDE w:val="0"/>
              <w:autoSpaceDN w:val="0"/>
              <w:adjustRightInd w:val="0"/>
              <w:jc w:val="center"/>
              <w:rPr>
                <w:rFonts w:cstheme="minorHAnsi"/>
                <w:sz w:val="24"/>
                <w:szCs w:val="24"/>
              </w:rPr>
            </w:pPr>
            <w:r w:rsidRPr="004C58A8">
              <w:rPr>
                <w:rFonts w:cstheme="minorHAnsi"/>
                <w:b/>
                <w:bCs/>
              </w:rPr>
              <w:t>Chart 3: Share of Debt Owed by Stressed Companies</w:t>
            </w:r>
          </w:p>
        </w:tc>
      </w:tr>
      <w:tr w:rsidR="004C58A8" w:rsidTr="004C58A8">
        <w:tc>
          <w:tcPr>
            <w:tcW w:w="9242" w:type="dxa"/>
          </w:tcPr>
          <w:p w:rsidR="004C58A8" w:rsidRDefault="004C58A8" w:rsidP="004C58A8">
            <w:pPr>
              <w:jc w:val="both"/>
              <w:rPr>
                <w:rFonts w:cstheme="minorHAnsi"/>
                <w:sz w:val="24"/>
                <w:szCs w:val="24"/>
              </w:rPr>
            </w:pPr>
            <w:r>
              <w:rPr>
                <w:rFonts w:cstheme="minorHAnsi"/>
                <w:noProof/>
                <w:sz w:val="24"/>
                <w:szCs w:val="24"/>
                <w:lang w:val="en-US"/>
              </w:rPr>
              <w:drawing>
                <wp:inline distT="0" distB="0" distL="0" distR="0" wp14:anchorId="2AF5ADFA" wp14:editId="2E2012CF">
                  <wp:extent cx="5708650" cy="30226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8650" cy="3022600"/>
                          </a:xfrm>
                          <a:prstGeom prst="rect">
                            <a:avLst/>
                          </a:prstGeom>
                          <a:noFill/>
                          <a:ln>
                            <a:noFill/>
                          </a:ln>
                        </pic:spPr>
                      </pic:pic>
                    </a:graphicData>
                  </a:graphic>
                </wp:inline>
              </w:drawing>
            </w:r>
          </w:p>
        </w:tc>
      </w:tr>
      <w:tr w:rsidR="004C58A8" w:rsidTr="004C58A8">
        <w:tc>
          <w:tcPr>
            <w:tcW w:w="9242" w:type="dxa"/>
          </w:tcPr>
          <w:p w:rsidR="004C58A8" w:rsidRPr="004C58A8" w:rsidRDefault="004C58A8" w:rsidP="004C58A8">
            <w:pPr>
              <w:autoSpaceDE w:val="0"/>
              <w:autoSpaceDN w:val="0"/>
              <w:adjustRightInd w:val="0"/>
              <w:jc w:val="both"/>
              <w:rPr>
                <w:rFonts w:cstheme="minorHAnsi"/>
                <w:sz w:val="20"/>
                <w:szCs w:val="20"/>
              </w:rPr>
            </w:pPr>
            <w:r w:rsidRPr="004C58A8">
              <w:rPr>
                <w:rFonts w:cstheme="minorHAnsi"/>
                <w:sz w:val="20"/>
                <w:szCs w:val="20"/>
              </w:rPr>
              <w:t xml:space="preserve">Note: </w:t>
            </w:r>
            <w:r w:rsidRPr="004C58A8">
              <w:rPr>
                <w:rFonts w:cstheme="minorHAnsi"/>
                <w:bCs/>
                <w:sz w:val="20"/>
                <w:szCs w:val="20"/>
              </w:rPr>
              <w:t xml:space="preserve">Percent of debt owed by companies that have interest coverage ratio less than one, where cash flow is measured by EBIT </w:t>
            </w:r>
            <w:r w:rsidR="00A55EA3">
              <w:rPr>
                <w:rFonts w:cstheme="minorHAnsi"/>
                <w:bCs/>
                <w:sz w:val="20"/>
                <w:szCs w:val="20"/>
              </w:rPr>
              <w:t>(</w:t>
            </w:r>
            <w:r w:rsidRPr="004C58A8">
              <w:rPr>
                <w:rFonts w:cstheme="minorHAnsi"/>
                <w:bCs/>
                <w:sz w:val="20"/>
                <w:szCs w:val="20"/>
              </w:rPr>
              <w:t>earnings before interest and taxes</w:t>
            </w:r>
            <w:r w:rsidR="00A55EA3">
              <w:rPr>
                <w:rFonts w:cstheme="minorHAnsi"/>
                <w:bCs/>
                <w:sz w:val="20"/>
                <w:szCs w:val="20"/>
              </w:rPr>
              <w:t xml:space="preserve">), </w:t>
            </w:r>
            <w:r w:rsidRPr="004C58A8">
              <w:rPr>
                <w:rFonts w:cstheme="minorHAnsi"/>
                <w:bCs/>
                <w:sz w:val="20"/>
                <w:szCs w:val="20"/>
              </w:rPr>
              <w:t xml:space="preserve">based on sample of 3,700 listed nonfinancial companies. </w:t>
            </w:r>
          </w:p>
          <w:p w:rsidR="004C58A8" w:rsidRPr="004C58A8" w:rsidRDefault="004C58A8" w:rsidP="004C58A8">
            <w:pPr>
              <w:jc w:val="both"/>
              <w:rPr>
                <w:rFonts w:cstheme="minorHAnsi"/>
                <w:sz w:val="20"/>
                <w:szCs w:val="20"/>
              </w:rPr>
            </w:pPr>
            <w:r w:rsidRPr="004C58A8">
              <w:rPr>
                <w:rFonts w:cstheme="minorHAnsi"/>
                <w:sz w:val="20"/>
                <w:szCs w:val="20"/>
              </w:rPr>
              <w:t xml:space="preserve">Source: </w:t>
            </w:r>
            <w:r w:rsidRPr="004C58A8">
              <w:rPr>
                <w:rFonts w:cstheme="minorHAnsi"/>
                <w:i/>
                <w:sz w:val="20"/>
                <w:szCs w:val="20"/>
              </w:rPr>
              <w:t>Economic Survey, 2016-17</w:t>
            </w:r>
            <w:r w:rsidRPr="004C58A8">
              <w:rPr>
                <w:rFonts w:cstheme="minorHAnsi"/>
                <w:sz w:val="20"/>
                <w:szCs w:val="20"/>
              </w:rPr>
              <w:t>, Government of India.</w:t>
            </w:r>
          </w:p>
        </w:tc>
      </w:tr>
    </w:tbl>
    <w:p w:rsidR="004C58A8" w:rsidRPr="004C58A8" w:rsidRDefault="004C58A8" w:rsidP="005627E9">
      <w:pPr>
        <w:spacing w:after="0" w:line="360" w:lineRule="auto"/>
        <w:jc w:val="both"/>
        <w:rPr>
          <w:rFonts w:cstheme="minorHAnsi"/>
          <w:sz w:val="24"/>
          <w:szCs w:val="24"/>
        </w:rPr>
      </w:pPr>
    </w:p>
    <w:p w:rsidR="00A55EA3" w:rsidRDefault="004C58A8" w:rsidP="00A55EA3">
      <w:pPr>
        <w:autoSpaceDE w:val="0"/>
        <w:autoSpaceDN w:val="0"/>
        <w:adjustRightInd w:val="0"/>
        <w:spacing w:after="0" w:line="360" w:lineRule="auto"/>
        <w:jc w:val="both"/>
        <w:rPr>
          <w:rFonts w:cstheme="minorHAnsi"/>
          <w:sz w:val="24"/>
          <w:szCs w:val="24"/>
        </w:rPr>
      </w:pPr>
      <w:r w:rsidRPr="00A55EA3">
        <w:rPr>
          <w:rFonts w:cstheme="minorHAnsi"/>
          <w:sz w:val="24"/>
          <w:szCs w:val="24"/>
        </w:rPr>
        <w:tab/>
        <w:t xml:space="preserve">But what is to be done </w:t>
      </w:r>
      <w:r w:rsidR="008C0E23">
        <w:rPr>
          <w:rFonts w:cstheme="minorHAnsi"/>
          <w:sz w:val="24"/>
          <w:szCs w:val="24"/>
        </w:rPr>
        <w:t xml:space="preserve">so as </w:t>
      </w:r>
      <w:r w:rsidRPr="00A55EA3">
        <w:rPr>
          <w:rFonts w:cstheme="minorHAnsi"/>
          <w:sz w:val="24"/>
          <w:szCs w:val="24"/>
        </w:rPr>
        <w:t xml:space="preserve">to have a resolution of this twin balance sheet problem? </w:t>
      </w:r>
      <w:r w:rsidR="008C0E23">
        <w:rPr>
          <w:rFonts w:cstheme="minorHAnsi"/>
          <w:sz w:val="24"/>
          <w:szCs w:val="24"/>
        </w:rPr>
        <w:t xml:space="preserve">The </w:t>
      </w:r>
      <w:r w:rsidRPr="008C0E23">
        <w:rPr>
          <w:rFonts w:cstheme="minorHAnsi"/>
          <w:i/>
          <w:sz w:val="24"/>
          <w:szCs w:val="24"/>
        </w:rPr>
        <w:t>Economic Survey</w:t>
      </w:r>
      <w:r w:rsidR="00A55EA3" w:rsidRPr="008C0E23">
        <w:rPr>
          <w:rFonts w:cstheme="minorHAnsi"/>
          <w:i/>
          <w:sz w:val="24"/>
          <w:szCs w:val="24"/>
        </w:rPr>
        <w:t>, 2016-17</w:t>
      </w:r>
      <w:r w:rsidR="00A55EA3" w:rsidRPr="00A55EA3">
        <w:rPr>
          <w:rFonts w:cstheme="minorHAnsi"/>
          <w:sz w:val="24"/>
          <w:szCs w:val="24"/>
        </w:rPr>
        <w:t xml:space="preserve"> candidly argued in favour of establishing a </w:t>
      </w:r>
      <w:r w:rsidRPr="00A55EA3">
        <w:rPr>
          <w:rFonts w:cstheme="minorHAnsi"/>
          <w:sz w:val="24"/>
          <w:szCs w:val="24"/>
        </w:rPr>
        <w:t>formal agency</w:t>
      </w:r>
      <w:r w:rsidR="00A55EA3" w:rsidRPr="00A55EA3">
        <w:rPr>
          <w:rFonts w:cstheme="minorHAnsi"/>
          <w:sz w:val="24"/>
          <w:szCs w:val="24"/>
        </w:rPr>
        <w:t xml:space="preserve"> that can </w:t>
      </w:r>
      <w:r w:rsidRPr="00A55EA3">
        <w:rPr>
          <w:rFonts w:cstheme="minorHAnsi"/>
          <w:sz w:val="24"/>
          <w:szCs w:val="24"/>
        </w:rPr>
        <w:t>resolve the large bad debt</w:t>
      </w:r>
      <w:r w:rsidR="00A55EA3" w:rsidRPr="00A55EA3">
        <w:rPr>
          <w:rFonts w:cstheme="minorHAnsi"/>
          <w:sz w:val="24"/>
          <w:szCs w:val="24"/>
        </w:rPr>
        <w:t xml:space="preserve"> </w:t>
      </w:r>
      <w:r w:rsidRPr="00A55EA3">
        <w:rPr>
          <w:rFonts w:cstheme="minorHAnsi"/>
          <w:sz w:val="24"/>
          <w:szCs w:val="24"/>
        </w:rPr>
        <w:t xml:space="preserve">cases </w:t>
      </w:r>
      <w:r w:rsidR="00A55EA3" w:rsidRPr="00A55EA3">
        <w:rPr>
          <w:rFonts w:cstheme="minorHAnsi"/>
          <w:sz w:val="24"/>
          <w:szCs w:val="24"/>
        </w:rPr>
        <w:t xml:space="preserve">- something in the nature of a ‘Public Sector Asset Rehabilitation Agency’. This has been employed by the </w:t>
      </w:r>
      <w:r w:rsidRPr="00A55EA3">
        <w:rPr>
          <w:rFonts w:cstheme="minorHAnsi"/>
          <w:sz w:val="24"/>
          <w:szCs w:val="24"/>
        </w:rPr>
        <w:t>East Asian</w:t>
      </w:r>
      <w:r w:rsidR="00A55EA3" w:rsidRPr="00A55EA3">
        <w:rPr>
          <w:rFonts w:cstheme="minorHAnsi"/>
          <w:sz w:val="24"/>
          <w:szCs w:val="24"/>
        </w:rPr>
        <w:t xml:space="preserve"> </w:t>
      </w:r>
      <w:r w:rsidRPr="00A55EA3">
        <w:rPr>
          <w:rFonts w:cstheme="minorHAnsi"/>
          <w:sz w:val="24"/>
          <w:szCs w:val="24"/>
        </w:rPr>
        <w:t>countries after they were hit by</w:t>
      </w:r>
      <w:r w:rsidR="00A55EA3" w:rsidRPr="00A55EA3">
        <w:rPr>
          <w:rFonts w:cstheme="minorHAnsi"/>
          <w:sz w:val="24"/>
          <w:szCs w:val="24"/>
        </w:rPr>
        <w:t xml:space="preserve"> similar balance sheet problem</w:t>
      </w:r>
      <w:r w:rsidR="00A55EA3">
        <w:rPr>
          <w:rFonts w:cstheme="minorHAnsi"/>
          <w:sz w:val="24"/>
          <w:szCs w:val="24"/>
        </w:rPr>
        <w:t xml:space="preserve"> in the 1990s. </w:t>
      </w:r>
      <w:r w:rsidR="00A55EA3" w:rsidRPr="00A55EA3">
        <w:rPr>
          <w:rFonts w:cstheme="minorHAnsi"/>
          <w:sz w:val="24"/>
          <w:szCs w:val="24"/>
        </w:rPr>
        <w:t xml:space="preserve"> </w:t>
      </w:r>
      <w:r w:rsidR="00A55EA3">
        <w:rPr>
          <w:rFonts w:cstheme="minorHAnsi"/>
          <w:sz w:val="24"/>
          <w:szCs w:val="24"/>
        </w:rPr>
        <w:t>This is in the nature of a grand Bad Bank.</w:t>
      </w:r>
    </w:p>
    <w:p w:rsidR="00F26F90" w:rsidRPr="00F26F90" w:rsidRDefault="00F26F90" w:rsidP="00A55EA3">
      <w:pPr>
        <w:autoSpaceDE w:val="0"/>
        <w:autoSpaceDN w:val="0"/>
        <w:adjustRightInd w:val="0"/>
        <w:spacing w:after="0" w:line="360" w:lineRule="auto"/>
        <w:jc w:val="both"/>
        <w:rPr>
          <w:rFonts w:cstheme="minorHAnsi"/>
          <w:b/>
          <w:sz w:val="24"/>
          <w:szCs w:val="24"/>
        </w:rPr>
      </w:pPr>
      <w:r w:rsidRPr="00F26F90">
        <w:rPr>
          <w:rFonts w:cstheme="minorHAnsi"/>
          <w:b/>
          <w:sz w:val="24"/>
          <w:szCs w:val="24"/>
        </w:rPr>
        <w:lastRenderedPageBreak/>
        <w:t>Budget, 2017-18 and the Banking Sector</w:t>
      </w:r>
    </w:p>
    <w:p w:rsidR="0046018E" w:rsidRPr="0046018E" w:rsidRDefault="00F26F90" w:rsidP="00A55EA3">
      <w:pPr>
        <w:autoSpaceDE w:val="0"/>
        <w:autoSpaceDN w:val="0"/>
        <w:adjustRightInd w:val="0"/>
        <w:spacing w:after="0" w:line="360" w:lineRule="auto"/>
        <w:jc w:val="both"/>
        <w:rPr>
          <w:rFonts w:cstheme="minorHAnsi"/>
          <w:sz w:val="24"/>
          <w:szCs w:val="24"/>
        </w:rPr>
      </w:pPr>
      <w:r>
        <w:rPr>
          <w:rFonts w:cstheme="minorHAnsi"/>
          <w:sz w:val="24"/>
          <w:szCs w:val="24"/>
        </w:rPr>
        <w:tab/>
      </w:r>
      <w:r w:rsidR="00A55EA3" w:rsidRPr="0046018E">
        <w:rPr>
          <w:rFonts w:cstheme="minorHAnsi"/>
          <w:sz w:val="24"/>
          <w:szCs w:val="24"/>
        </w:rPr>
        <w:t xml:space="preserve">Naturally, the analysis of </w:t>
      </w:r>
      <w:r w:rsidR="00A55EA3" w:rsidRPr="008C0E23">
        <w:rPr>
          <w:rFonts w:cstheme="minorHAnsi"/>
          <w:i/>
          <w:sz w:val="24"/>
          <w:szCs w:val="24"/>
        </w:rPr>
        <w:t>Economic Survey</w:t>
      </w:r>
      <w:r w:rsidR="00A55EA3" w:rsidRPr="0046018E">
        <w:rPr>
          <w:rFonts w:cstheme="minorHAnsi"/>
          <w:sz w:val="24"/>
          <w:szCs w:val="24"/>
        </w:rPr>
        <w:t xml:space="preserve"> </w:t>
      </w:r>
      <w:r w:rsidR="008C0E23">
        <w:rPr>
          <w:rFonts w:cstheme="minorHAnsi"/>
          <w:sz w:val="24"/>
          <w:szCs w:val="24"/>
        </w:rPr>
        <w:t xml:space="preserve">created some </w:t>
      </w:r>
      <w:r w:rsidR="00A55EA3" w:rsidRPr="0046018E">
        <w:rPr>
          <w:rFonts w:cstheme="minorHAnsi"/>
          <w:sz w:val="24"/>
          <w:szCs w:val="24"/>
        </w:rPr>
        <w:t>hype about the shape of things to come the Budget of 2017-18 insofar as the banking sector is concerned. It is interesting to take look at the Budget proposals of 2017-18 in this context. The following</w:t>
      </w:r>
      <w:r w:rsidR="0046018E" w:rsidRPr="0046018E">
        <w:rPr>
          <w:rFonts w:cstheme="minorHAnsi"/>
          <w:sz w:val="24"/>
          <w:szCs w:val="24"/>
        </w:rPr>
        <w:t xml:space="preserve"> deserve special mention.</w:t>
      </w:r>
    </w:p>
    <w:p w:rsidR="00A55EA3" w:rsidRPr="0046018E" w:rsidRDefault="0046018E" w:rsidP="0046018E">
      <w:pPr>
        <w:autoSpaceDE w:val="0"/>
        <w:autoSpaceDN w:val="0"/>
        <w:adjustRightInd w:val="0"/>
        <w:spacing w:after="0" w:line="360" w:lineRule="auto"/>
        <w:jc w:val="both"/>
        <w:rPr>
          <w:sz w:val="24"/>
          <w:szCs w:val="24"/>
        </w:rPr>
      </w:pPr>
      <w:r w:rsidRPr="0046018E">
        <w:rPr>
          <w:rFonts w:cstheme="minorHAnsi"/>
          <w:sz w:val="24"/>
          <w:szCs w:val="24"/>
        </w:rPr>
        <w:tab/>
        <w:t xml:space="preserve">First, the Finance Minister announced that a </w:t>
      </w:r>
      <w:r w:rsidR="00A55EA3" w:rsidRPr="0046018E">
        <w:rPr>
          <w:sz w:val="24"/>
          <w:szCs w:val="24"/>
        </w:rPr>
        <w:t xml:space="preserve">bill relating to resolution of financial firms </w:t>
      </w:r>
      <w:r w:rsidRPr="0046018E">
        <w:rPr>
          <w:sz w:val="24"/>
          <w:szCs w:val="24"/>
        </w:rPr>
        <w:t xml:space="preserve">would </w:t>
      </w:r>
      <w:r w:rsidR="00A55EA3" w:rsidRPr="0046018E">
        <w:rPr>
          <w:sz w:val="24"/>
          <w:szCs w:val="24"/>
        </w:rPr>
        <w:t xml:space="preserve">be introduced in the current Budget Session of Parliament. </w:t>
      </w:r>
      <w:r w:rsidRPr="0046018E">
        <w:rPr>
          <w:sz w:val="24"/>
          <w:szCs w:val="24"/>
        </w:rPr>
        <w:t>It was specifically noted, "</w:t>
      </w:r>
      <w:r w:rsidR="00A55EA3" w:rsidRPr="0046018E">
        <w:rPr>
          <w:sz w:val="24"/>
          <w:szCs w:val="24"/>
        </w:rPr>
        <w:t>This will contribute to stability and resilience of our financial system</w:t>
      </w:r>
      <w:r w:rsidRPr="0046018E">
        <w:rPr>
          <w:sz w:val="24"/>
          <w:szCs w:val="24"/>
        </w:rPr>
        <w:t xml:space="preserve"> (and) </w:t>
      </w:r>
      <w:r w:rsidR="00A55EA3" w:rsidRPr="0046018E">
        <w:rPr>
          <w:sz w:val="24"/>
          <w:szCs w:val="24"/>
        </w:rPr>
        <w:t>will also protect the consumers of various financial institutions</w:t>
      </w:r>
      <w:r w:rsidRPr="0046018E">
        <w:rPr>
          <w:sz w:val="24"/>
          <w:szCs w:val="24"/>
        </w:rPr>
        <w:t>" (p. 20; Finance Minster's Budget Speech, 2017-2018). It was expected that t</w:t>
      </w:r>
      <w:r w:rsidR="00A55EA3" w:rsidRPr="0046018E">
        <w:rPr>
          <w:sz w:val="24"/>
          <w:szCs w:val="24"/>
        </w:rPr>
        <w:t>ogether with the Insolvency and Bankruptcy Code</w:t>
      </w:r>
      <w:r w:rsidRPr="0046018E">
        <w:rPr>
          <w:sz w:val="24"/>
          <w:szCs w:val="24"/>
        </w:rPr>
        <w:t xml:space="preserve"> such as </w:t>
      </w:r>
      <w:r w:rsidR="00A55EA3" w:rsidRPr="0046018E">
        <w:rPr>
          <w:sz w:val="24"/>
          <w:szCs w:val="24"/>
        </w:rPr>
        <w:t xml:space="preserve">a resolution mechanism for financial firms will ensure comprehensiveness of the resolution system in </w:t>
      </w:r>
      <w:r w:rsidRPr="0046018E">
        <w:rPr>
          <w:sz w:val="24"/>
          <w:szCs w:val="24"/>
        </w:rPr>
        <w:t xml:space="preserve">India. </w:t>
      </w:r>
    </w:p>
    <w:p w:rsidR="0046018E" w:rsidRPr="0046018E" w:rsidRDefault="0046018E" w:rsidP="0046018E">
      <w:pPr>
        <w:autoSpaceDE w:val="0"/>
        <w:autoSpaceDN w:val="0"/>
        <w:adjustRightInd w:val="0"/>
        <w:spacing w:after="0" w:line="360" w:lineRule="auto"/>
        <w:jc w:val="both"/>
        <w:rPr>
          <w:sz w:val="24"/>
          <w:szCs w:val="24"/>
        </w:rPr>
      </w:pPr>
      <w:r w:rsidRPr="0046018E">
        <w:rPr>
          <w:sz w:val="24"/>
          <w:szCs w:val="24"/>
        </w:rPr>
        <w:tab/>
        <w:t xml:space="preserve">Second, in order to "streamline institutional arrangements for resolution of disputes in infrastructure related construction contracts, PPP and public utility contracts", it was announced that, "the required mechanism would be instituted as part of the Arbitration and Conciliation Act 1996". </w:t>
      </w:r>
    </w:p>
    <w:p w:rsidR="0046018E" w:rsidRDefault="0046018E" w:rsidP="0046018E">
      <w:pPr>
        <w:autoSpaceDE w:val="0"/>
        <w:autoSpaceDN w:val="0"/>
        <w:adjustRightInd w:val="0"/>
        <w:spacing w:after="0" w:line="360" w:lineRule="auto"/>
        <w:jc w:val="both"/>
        <w:rPr>
          <w:sz w:val="24"/>
          <w:szCs w:val="24"/>
        </w:rPr>
      </w:pPr>
      <w:r w:rsidRPr="0046018E">
        <w:rPr>
          <w:sz w:val="24"/>
          <w:szCs w:val="24"/>
        </w:rPr>
        <w:tab/>
        <w:t xml:space="preserve">Third, in order to solve "the stressed legacy accounts of Banks", In line with the </w:t>
      </w:r>
      <w:r w:rsidRPr="0046018E">
        <w:rPr>
          <w:i/>
          <w:iCs/>
          <w:sz w:val="24"/>
          <w:szCs w:val="24"/>
        </w:rPr>
        <w:t xml:space="preserve">‘Indradhanush’ </w:t>
      </w:r>
      <w:r w:rsidRPr="0046018E">
        <w:rPr>
          <w:sz w:val="24"/>
          <w:szCs w:val="24"/>
        </w:rPr>
        <w:t>roadmap, the Finance Minister has provided Rs. 10,000 crore for recapitalisation of Banks in 2017-18, and assured that, "</w:t>
      </w:r>
      <w:r w:rsidR="008C0E23">
        <w:rPr>
          <w:sz w:val="24"/>
          <w:szCs w:val="24"/>
        </w:rPr>
        <w:t>a</w:t>
      </w:r>
      <w:r w:rsidRPr="0046018E">
        <w:rPr>
          <w:sz w:val="24"/>
          <w:szCs w:val="24"/>
        </w:rPr>
        <w:t xml:space="preserve">dditional allocation will be provided, as may be required".  </w:t>
      </w:r>
    </w:p>
    <w:p w:rsidR="00D92F61" w:rsidRDefault="0046018E" w:rsidP="00D92F61">
      <w:pPr>
        <w:autoSpaceDE w:val="0"/>
        <w:autoSpaceDN w:val="0"/>
        <w:adjustRightInd w:val="0"/>
        <w:spacing w:after="0" w:line="360" w:lineRule="auto"/>
        <w:jc w:val="both"/>
        <w:rPr>
          <w:sz w:val="23"/>
          <w:szCs w:val="23"/>
        </w:rPr>
      </w:pPr>
      <w:r>
        <w:rPr>
          <w:sz w:val="24"/>
          <w:szCs w:val="24"/>
        </w:rPr>
        <w:tab/>
        <w:t xml:space="preserve">Fourth, </w:t>
      </w:r>
      <w:r w:rsidR="00D92F61">
        <w:rPr>
          <w:sz w:val="24"/>
          <w:szCs w:val="24"/>
        </w:rPr>
        <w:t>l</w:t>
      </w:r>
      <w:r>
        <w:rPr>
          <w:sz w:val="23"/>
          <w:szCs w:val="23"/>
        </w:rPr>
        <w:t xml:space="preserve">isting and trading of Security Receipts issued by a securitization company or a reconstruction company under the SARFAESI Act </w:t>
      </w:r>
      <w:r w:rsidR="00D92F61">
        <w:rPr>
          <w:sz w:val="23"/>
          <w:szCs w:val="23"/>
        </w:rPr>
        <w:t xml:space="preserve">has been </w:t>
      </w:r>
      <w:r>
        <w:rPr>
          <w:sz w:val="23"/>
          <w:szCs w:val="23"/>
        </w:rPr>
        <w:t>permitted in SEBI registered stock exchanges. This</w:t>
      </w:r>
      <w:r w:rsidR="00D92F61">
        <w:rPr>
          <w:sz w:val="23"/>
          <w:szCs w:val="23"/>
        </w:rPr>
        <w:t xml:space="preserve"> is expected to "</w:t>
      </w:r>
      <w:r>
        <w:rPr>
          <w:sz w:val="23"/>
          <w:szCs w:val="23"/>
        </w:rPr>
        <w:t>enhance capital flows into the securitization industry and will particularly be helpful to deal with bank NPAs</w:t>
      </w:r>
      <w:r w:rsidR="00D92F61">
        <w:rPr>
          <w:sz w:val="23"/>
          <w:szCs w:val="23"/>
        </w:rPr>
        <w:t>".</w:t>
      </w:r>
      <w:r>
        <w:rPr>
          <w:sz w:val="23"/>
          <w:szCs w:val="23"/>
        </w:rPr>
        <w:t xml:space="preserve"> </w:t>
      </w:r>
    </w:p>
    <w:p w:rsidR="00D92F61" w:rsidRDefault="00D92F61" w:rsidP="00D92F61">
      <w:pPr>
        <w:autoSpaceDE w:val="0"/>
        <w:autoSpaceDN w:val="0"/>
        <w:adjustRightInd w:val="0"/>
        <w:spacing w:after="0" w:line="360" w:lineRule="auto"/>
        <w:jc w:val="both"/>
        <w:rPr>
          <w:sz w:val="23"/>
          <w:szCs w:val="23"/>
        </w:rPr>
      </w:pPr>
      <w:r>
        <w:rPr>
          <w:sz w:val="23"/>
          <w:szCs w:val="23"/>
        </w:rPr>
        <w:tab/>
        <w:t>Finally, the Budget proposed to double the lending target of 2015-16 to Rs. 2.44 lakh crores under t</w:t>
      </w:r>
      <w:r w:rsidR="0046018E">
        <w:rPr>
          <w:sz w:val="23"/>
          <w:szCs w:val="23"/>
        </w:rPr>
        <w:t xml:space="preserve">he </w:t>
      </w:r>
      <w:r w:rsidR="0046018E">
        <w:rPr>
          <w:i/>
          <w:iCs/>
          <w:sz w:val="23"/>
          <w:szCs w:val="23"/>
        </w:rPr>
        <w:t xml:space="preserve">Pradhan Mantri Mudra Yojana </w:t>
      </w:r>
      <w:r>
        <w:rPr>
          <w:i/>
          <w:iCs/>
          <w:sz w:val="23"/>
          <w:szCs w:val="23"/>
        </w:rPr>
        <w:t>and added that, "p</w:t>
      </w:r>
      <w:r w:rsidR="0046018E">
        <w:rPr>
          <w:sz w:val="23"/>
          <w:szCs w:val="23"/>
        </w:rPr>
        <w:t>riority will be given to Dalits, Tribals, Backward Classes, Minorities and Women</w:t>
      </w:r>
      <w:r>
        <w:rPr>
          <w:sz w:val="23"/>
          <w:szCs w:val="23"/>
        </w:rPr>
        <w:t>".</w:t>
      </w:r>
    </w:p>
    <w:p w:rsidR="005C6C41" w:rsidRDefault="005C6C41" w:rsidP="00D92F61">
      <w:pPr>
        <w:autoSpaceDE w:val="0"/>
        <w:autoSpaceDN w:val="0"/>
        <w:adjustRightInd w:val="0"/>
        <w:spacing w:after="0" w:line="360" w:lineRule="auto"/>
        <w:jc w:val="both"/>
        <w:rPr>
          <w:sz w:val="23"/>
          <w:szCs w:val="23"/>
        </w:rPr>
      </w:pPr>
    </w:p>
    <w:p w:rsidR="00F26F90" w:rsidRPr="00F26F90" w:rsidRDefault="00F26F90" w:rsidP="00D92F61">
      <w:pPr>
        <w:autoSpaceDE w:val="0"/>
        <w:autoSpaceDN w:val="0"/>
        <w:adjustRightInd w:val="0"/>
        <w:spacing w:after="0" w:line="360" w:lineRule="auto"/>
        <w:jc w:val="both"/>
        <w:rPr>
          <w:b/>
          <w:sz w:val="23"/>
          <w:szCs w:val="23"/>
        </w:rPr>
      </w:pPr>
      <w:r w:rsidRPr="00F26F90">
        <w:rPr>
          <w:b/>
          <w:sz w:val="23"/>
          <w:szCs w:val="23"/>
        </w:rPr>
        <w:t>Have we forgotten Mary Poppins?</w:t>
      </w:r>
    </w:p>
    <w:p w:rsidR="0046018E" w:rsidRDefault="00D92F61" w:rsidP="00D92F61">
      <w:pPr>
        <w:autoSpaceDE w:val="0"/>
        <w:autoSpaceDN w:val="0"/>
        <w:adjustRightInd w:val="0"/>
        <w:spacing w:after="0" w:line="360" w:lineRule="auto"/>
        <w:jc w:val="both"/>
        <w:rPr>
          <w:sz w:val="23"/>
          <w:szCs w:val="23"/>
        </w:rPr>
      </w:pPr>
      <w:r>
        <w:rPr>
          <w:sz w:val="23"/>
          <w:szCs w:val="23"/>
        </w:rPr>
        <w:tab/>
      </w:r>
      <w:r w:rsidR="0046018E">
        <w:rPr>
          <w:sz w:val="23"/>
          <w:szCs w:val="23"/>
        </w:rPr>
        <w:t xml:space="preserve"> </w:t>
      </w:r>
      <w:r w:rsidR="00F26F90">
        <w:rPr>
          <w:sz w:val="23"/>
          <w:szCs w:val="23"/>
        </w:rPr>
        <w:t>Are these measures sufficient to address the plight of the Indian banking sector? At one level, clearly these seem to be insufficient</w:t>
      </w:r>
      <w:r w:rsidR="008C0E23">
        <w:rPr>
          <w:sz w:val="23"/>
          <w:szCs w:val="23"/>
        </w:rPr>
        <w:t xml:space="preserve"> to recapitalize banks and kick-start the credit cycles</w:t>
      </w:r>
      <w:r w:rsidR="00F26F90">
        <w:rPr>
          <w:sz w:val="23"/>
          <w:szCs w:val="23"/>
        </w:rPr>
        <w:t xml:space="preserve">; at another, one may note </w:t>
      </w:r>
      <w:r w:rsidR="008C0E23">
        <w:rPr>
          <w:sz w:val="23"/>
          <w:szCs w:val="23"/>
        </w:rPr>
        <w:t xml:space="preserve">that </w:t>
      </w:r>
      <w:r w:rsidR="00F26F90">
        <w:rPr>
          <w:sz w:val="23"/>
          <w:szCs w:val="23"/>
        </w:rPr>
        <w:t xml:space="preserve">devil may lie in the details that may emerge in the days to come. </w:t>
      </w:r>
      <w:r w:rsidR="005C6C41">
        <w:rPr>
          <w:sz w:val="23"/>
          <w:szCs w:val="23"/>
        </w:rPr>
        <w:lastRenderedPageBreak/>
        <w:t>Thus, a definitive stance</w:t>
      </w:r>
      <w:r w:rsidR="008C0E23">
        <w:rPr>
          <w:sz w:val="23"/>
          <w:szCs w:val="23"/>
        </w:rPr>
        <w:t xml:space="preserve"> about the shape of things to come in the banking sector</w:t>
      </w:r>
      <w:r w:rsidR="005C6C41">
        <w:rPr>
          <w:sz w:val="23"/>
          <w:szCs w:val="23"/>
        </w:rPr>
        <w:t xml:space="preserve"> may be pre-mature.</w:t>
      </w:r>
    </w:p>
    <w:p w:rsidR="00F26F90" w:rsidRPr="005C6C41" w:rsidRDefault="00F26F90" w:rsidP="00D92F61">
      <w:pPr>
        <w:autoSpaceDE w:val="0"/>
        <w:autoSpaceDN w:val="0"/>
        <w:adjustRightInd w:val="0"/>
        <w:spacing w:after="0" w:line="360" w:lineRule="auto"/>
        <w:jc w:val="both"/>
        <w:rPr>
          <w:rFonts w:cstheme="minorHAnsi"/>
          <w:color w:val="060706"/>
          <w:sz w:val="24"/>
          <w:szCs w:val="24"/>
          <w:shd w:val="clear" w:color="auto" w:fill="FFFFFF"/>
        </w:rPr>
      </w:pPr>
      <w:r>
        <w:rPr>
          <w:sz w:val="23"/>
          <w:szCs w:val="23"/>
        </w:rPr>
        <w:tab/>
      </w:r>
      <w:r w:rsidRPr="005C6C41">
        <w:rPr>
          <w:rFonts w:cstheme="minorHAnsi"/>
          <w:sz w:val="24"/>
          <w:szCs w:val="24"/>
        </w:rPr>
        <w:t xml:space="preserve">In situations like this, one is reminded of the 1964 Walt Disney classic </w:t>
      </w:r>
      <w:r w:rsidRPr="005C6C41">
        <w:rPr>
          <w:rFonts w:cstheme="minorHAnsi"/>
          <w:i/>
          <w:sz w:val="24"/>
          <w:szCs w:val="24"/>
        </w:rPr>
        <w:t>Mary Poppins</w:t>
      </w:r>
      <w:r w:rsidRPr="005C6C41">
        <w:rPr>
          <w:rFonts w:cstheme="minorHAnsi"/>
          <w:sz w:val="24"/>
          <w:szCs w:val="24"/>
        </w:rPr>
        <w:t xml:space="preserve">, </w:t>
      </w:r>
      <w:r w:rsidR="005C6C41" w:rsidRPr="005C6C41">
        <w:rPr>
          <w:rFonts w:cstheme="minorHAnsi"/>
          <w:sz w:val="24"/>
          <w:szCs w:val="24"/>
        </w:rPr>
        <w:t xml:space="preserve">where </w:t>
      </w:r>
      <w:r w:rsidRPr="005C6C41">
        <w:rPr>
          <w:rFonts w:cstheme="minorHAnsi"/>
          <w:color w:val="060706"/>
          <w:sz w:val="24"/>
          <w:szCs w:val="24"/>
          <w:shd w:val="clear" w:color="auto" w:fill="FFFFFF"/>
        </w:rPr>
        <w:t>Mr Banks</w:t>
      </w:r>
      <w:r w:rsidR="008C0E23">
        <w:rPr>
          <w:rFonts w:cstheme="minorHAnsi"/>
          <w:color w:val="060706"/>
          <w:sz w:val="24"/>
          <w:szCs w:val="24"/>
          <w:shd w:val="clear" w:color="auto" w:fill="FFFFFF"/>
        </w:rPr>
        <w:t xml:space="preserve"> </w:t>
      </w:r>
      <w:r w:rsidRPr="005C6C41">
        <w:rPr>
          <w:rFonts w:cstheme="minorHAnsi"/>
          <w:color w:val="060706"/>
          <w:sz w:val="24"/>
          <w:szCs w:val="24"/>
          <w:shd w:val="clear" w:color="auto" w:fill="FFFFFF"/>
        </w:rPr>
        <w:t>takes his daughter Jane and son Michael to his work place, the Dawes Tomes Mousley Grubbs Fidelity Fiduciary Bank and the bank’s elderly chairman</w:t>
      </w:r>
      <w:r w:rsidR="005C6C41" w:rsidRPr="005C6C41">
        <w:rPr>
          <w:rFonts w:cstheme="minorHAnsi"/>
          <w:color w:val="060706"/>
          <w:sz w:val="24"/>
          <w:szCs w:val="24"/>
          <w:shd w:val="clear" w:color="auto" w:fill="FFFFFF"/>
        </w:rPr>
        <w:t xml:space="preserve"> </w:t>
      </w:r>
      <w:r w:rsidRPr="005C6C41">
        <w:rPr>
          <w:rFonts w:cstheme="minorHAnsi"/>
          <w:color w:val="060706"/>
          <w:sz w:val="24"/>
          <w:szCs w:val="24"/>
          <w:shd w:val="clear" w:color="auto" w:fill="FFFFFF"/>
        </w:rPr>
        <w:t>aggressively tries to persuade Michael to invest his modest savings (all of two pence or</w:t>
      </w:r>
      <w:r w:rsidRPr="005C6C41">
        <w:rPr>
          <w:rStyle w:val="apple-converted-space"/>
          <w:rFonts w:cstheme="minorHAnsi"/>
          <w:color w:val="060706"/>
          <w:sz w:val="24"/>
          <w:szCs w:val="24"/>
          <w:shd w:val="clear" w:color="auto" w:fill="FFFFFF"/>
        </w:rPr>
        <w:t> tuppence</w:t>
      </w:r>
      <w:r w:rsidRPr="005C6C41">
        <w:rPr>
          <w:rFonts w:cstheme="minorHAnsi"/>
          <w:color w:val="060706"/>
          <w:sz w:val="24"/>
          <w:szCs w:val="24"/>
          <w:shd w:val="clear" w:color="auto" w:fill="FFFFFF"/>
        </w:rPr>
        <w:t>) in the bank and went on sing:</w:t>
      </w:r>
    </w:p>
    <w:p w:rsidR="00D92F61" w:rsidRPr="005C6C41" w:rsidRDefault="00F26F90" w:rsidP="005C6C41">
      <w:pPr>
        <w:autoSpaceDE w:val="0"/>
        <w:autoSpaceDN w:val="0"/>
        <w:adjustRightInd w:val="0"/>
        <w:spacing w:after="0" w:line="240" w:lineRule="auto"/>
        <w:ind w:left="709"/>
        <w:jc w:val="both"/>
        <w:rPr>
          <w:rFonts w:cstheme="minorHAnsi"/>
          <w:i/>
          <w:iCs/>
          <w:color w:val="060706"/>
          <w:sz w:val="24"/>
          <w:szCs w:val="24"/>
          <w:shd w:val="clear" w:color="auto" w:fill="FFFFFF"/>
        </w:rPr>
      </w:pPr>
      <w:r w:rsidRPr="005C6C41">
        <w:rPr>
          <w:rFonts w:cstheme="minorHAnsi"/>
          <w:color w:val="060706"/>
          <w:sz w:val="24"/>
          <w:szCs w:val="24"/>
          <w:shd w:val="clear" w:color="auto" w:fill="FFFFFF"/>
        </w:rPr>
        <w:t>"</w:t>
      </w:r>
      <w:r w:rsidR="00D92F61" w:rsidRPr="005C6C41">
        <w:rPr>
          <w:rStyle w:val="Emphasis"/>
          <w:rFonts w:cstheme="minorHAnsi"/>
          <w:color w:val="060706"/>
          <w:sz w:val="24"/>
          <w:szCs w:val="24"/>
        </w:rPr>
        <w:t>If you invest your tuppence</w:t>
      </w:r>
      <w:r w:rsidR="005C6C41" w:rsidRPr="005C6C41">
        <w:rPr>
          <w:rStyle w:val="Emphasis"/>
          <w:rFonts w:cstheme="minorHAnsi"/>
          <w:color w:val="060706"/>
          <w:sz w:val="24"/>
          <w:szCs w:val="24"/>
        </w:rPr>
        <w:t xml:space="preserve"> </w:t>
      </w:r>
      <w:r w:rsidRPr="005C6C41">
        <w:rPr>
          <w:rStyle w:val="Emphasis"/>
          <w:rFonts w:cstheme="minorHAnsi"/>
          <w:color w:val="060706"/>
          <w:sz w:val="24"/>
          <w:szCs w:val="24"/>
        </w:rPr>
        <w:t xml:space="preserve">/ </w:t>
      </w:r>
      <w:r w:rsidR="00D92F61" w:rsidRPr="005C6C41">
        <w:rPr>
          <w:rStyle w:val="Emphasis"/>
          <w:rFonts w:cstheme="minorHAnsi"/>
          <w:color w:val="060706"/>
          <w:sz w:val="24"/>
          <w:szCs w:val="24"/>
        </w:rPr>
        <w:t>Wisely in the bank</w:t>
      </w:r>
      <w:r w:rsidR="005C6C41" w:rsidRPr="005C6C41">
        <w:rPr>
          <w:rStyle w:val="Emphasis"/>
          <w:rFonts w:cstheme="minorHAnsi"/>
          <w:color w:val="060706"/>
          <w:sz w:val="24"/>
          <w:szCs w:val="24"/>
        </w:rPr>
        <w:t xml:space="preserve"> </w:t>
      </w:r>
      <w:r w:rsidRPr="005C6C41">
        <w:rPr>
          <w:rStyle w:val="Emphasis"/>
          <w:rFonts w:cstheme="minorHAnsi"/>
          <w:color w:val="060706"/>
          <w:sz w:val="24"/>
          <w:szCs w:val="24"/>
        </w:rPr>
        <w:t xml:space="preserve">/ </w:t>
      </w:r>
      <w:r w:rsidR="00D92F61" w:rsidRPr="005C6C41">
        <w:rPr>
          <w:rStyle w:val="Emphasis"/>
          <w:rFonts w:cstheme="minorHAnsi"/>
          <w:color w:val="060706"/>
          <w:sz w:val="24"/>
          <w:szCs w:val="24"/>
        </w:rPr>
        <w:t>Safe and sound</w:t>
      </w:r>
      <w:r w:rsidRPr="005C6C41">
        <w:rPr>
          <w:rStyle w:val="Emphasis"/>
          <w:rFonts w:cstheme="minorHAnsi"/>
          <w:color w:val="060706"/>
          <w:sz w:val="24"/>
          <w:szCs w:val="24"/>
        </w:rPr>
        <w:t xml:space="preserve"> / </w:t>
      </w:r>
      <w:r w:rsidR="00D92F61" w:rsidRPr="005C6C41">
        <w:rPr>
          <w:rStyle w:val="Emphasis"/>
          <w:rFonts w:cstheme="minorHAnsi"/>
          <w:color w:val="060706"/>
          <w:sz w:val="24"/>
          <w:szCs w:val="24"/>
        </w:rPr>
        <w:t>Soon that tuppence</w:t>
      </w:r>
      <w:r w:rsidR="005C6C41" w:rsidRPr="005C6C41">
        <w:rPr>
          <w:rStyle w:val="Emphasis"/>
          <w:rFonts w:cstheme="minorHAnsi"/>
          <w:color w:val="060706"/>
          <w:sz w:val="24"/>
          <w:szCs w:val="24"/>
        </w:rPr>
        <w:t xml:space="preserve"> </w:t>
      </w:r>
      <w:r w:rsidRPr="005C6C41">
        <w:rPr>
          <w:rStyle w:val="Emphasis"/>
          <w:rFonts w:cstheme="minorHAnsi"/>
          <w:color w:val="060706"/>
          <w:sz w:val="24"/>
          <w:szCs w:val="24"/>
        </w:rPr>
        <w:t xml:space="preserve">/ </w:t>
      </w:r>
      <w:r w:rsidR="00D92F61" w:rsidRPr="005C6C41">
        <w:rPr>
          <w:rStyle w:val="Emphasis"/>
          <w:rFonts w:cstheme="minorHAnsi"/>
          <w:color w:val="060706"/>
          <w:sz w:val="24"/>
          <w:szCs w:val="24"/>
        </w:rPr>
        <w:t>Safely invested in the bank</w:t>
      </w:r>
      <w:r w:rsidR="005C6C41" w:rsidRPr="005C6C41">
        <w:rPr>
          <w:rStyle w:val="Emphasis"/>
          <w:rFonts w:cstheme="minorHAnsi"/>
          <w:color w:val="060706"/>
          <w:sz w:val="24"/>
          <w:szCs w:val="24"/>
        </w:rPr>
        <w:t xml:space="preserve"> </w:t>
      </w:r>
      <w:r w:rsidRPr="005C6C41">
        <w:rPr>
          <w:rStyle w:val="Emphasis"/>
          <w:rFonts w:cstheme="minorHAnsi"/>
          <w:color w:val="060706"/>
          <w:sz w:val="24"/>
          <w:szCs w:val="24"/>
        </w:rPr>
        <w:t xml:space="preserve">/ </w:t>
      </w:r>
      <w:r w:rsidR="00D92F61" w:rsidRPr="005C6C41">
        <w:rPr>
          <w:rStyle w:val="Emphasis"/>
          <w:rFonts w:cstheme="minorHAnsi"/>
          <w:color w:val="060706"/>
          <w:sz w:val="24"/>
          <w:szCs w:val="24"/>
        </w:rPr>
        <w:t>Will compound</w:t>
      </w:r>
      <w:r w:rsidR="005C6C41" w:rsidRPr="005C6C41">
        <w:rPr>
          <w:rStyle w:val="Emphasis"/>
          <w:rFonts w:cstheme="minorHAnsi"/>
          <w:color w:val="060706"/>
          <w:sz w:val="24"/>
          <w:szCs w:val="24"/>
        </w:rPr>
        <w:t xml:space="preserve"> ...</w:t>
      </w:r>
      <w:r w:rsidR="005C6C41" w:rsidRPr="005C6C41">
        <w:rPr>
          <w:rFonts w:cstheme="minorHAnsi"/>
          <w:i/>
          <w:iCs/>
          <w:color w:val="060706"/>
          <w:sz w:val="24"/>
          <w:szCs w:val="24"/>
          <w:shd w:val="clear" w:color="auto" w:fill="FFFFFF"/>
        </w:rPr>
        <w:t>...</w:t>
      </w:r>
    </w:p>
    <w:p w:rsidR="00D92F61" w:rsidRPr="005C6C41" w:rsidRDefault="00D92F61" w:rsidP="005C6C41">
      <w:pPr>
        <w:pStyle w:val="NormalWeb"/>
        <w:spacing w:before="0" w:beforeAutospacing="0" w:after="0" w:afterAutospacing="0"/>
        <w:ind w:left="709"/>
        <w:jc w:val="both"/>
        <w:rPr>
          <w:rFonts w:asciiTheme="minorHAnsi" w:hAnsiTheme="minorHAnsi" w:cstheme="minorHAnsi"/>
          <w:i/>
          <w:iCs/>
          <w:color w:val="060706"/>
          <w:shd w:val="clear" w:color="auto" w:fill="FFFFFF"/>
        </w:rPr>
      </w:pPr>
      <w:r w:rsidRPr="005C6C41">
        <w:rPr>
          <w:rFonts w:asciiTheme="minorHAnsi" w:hAnsiTheme="minorHAnsi" w:cstheme="minorHAnsi"/>
          <w:i/>
          <w:iCs/>
          <w:color w:val="060706"/>
          <w:shd w:val="clear" w:color="auto" w:fill="FFFFFF"/>
        </w:rPr>
        <w:t>You see, Michael, you’ll be part of</w:t>
      </w:r>
      <w:r w:rsidR="00F26F90" w:rsidRPr="005C6C41">
        <w:rPr>
          <w:rFonts w:asciiTheme="minorHAnsi" w:hAnsiTheme="minorHAnsi" w:cstheme="minorHAnsi"/>
          <w:i/>
          <w:iCs/>
          <w:color w:val="060706"/>
          <w:shd w:val="clear" w:color="auto" w:fill="FFFFFF"/>
        </w:rPr>
        <w:t xml:space="preserve"> / </w:t>
      </w:r>
      <w:r w:rsidRPr="005C6C41">
        <w:rPr>
          <w:rFonts w:asciiTheme="minorHAnsi" w:hAnsiTheme="minorHAnsi" w:cstheme="minorHAnsi"/>
          <w:i/>
          <w:iCs/>
          <w:color w:val="060706"/>
          <w:shd w:val="clear" w:color="auto" w:fill="FFFFFF"/>
        </w:rPr>
        <w:t>Railways through Africa</w:t>
      </w:r>
      <w:r w:rsidR="00F26F90" w:rsidRPr="005C6C41">
        <w:rPr>
          <w:rFonts w:asciiTheme="minorHAnsi" w:hAnsiTheme="minorHAnsi" w:cstheme="minorHAnsi"/>
          <w:i/>
          <w:iCs/>
          <w:color w:val="060706"/>
          <w:shd w:val="clear" w:color="auto" w:fill="FFFFFF"/>
        </w:rPr>
        <w:t xml:space="preserve"> / </w:t>
      </w:r>
      <w:r w:rsidRPr="005C6C41">
        <w:rPr>
          <w:rFonts w:asciiTheme="minorHAnsi" w:hAnsiTheme="minorHAnsi" w:cstheme="minorHAnsi"/>
          <w:i/>
          <w:iCs/>
          <w:color w:val="060706"/>
          <w:shd w:val="clear" w:color="auto" w:fill="FFFFFF"/>
        </w:rPr>
        <w:t>Dams across the Nile</w:t>
      </w:r>
      <w:r w:rsidR="00F26F90" w:rsidRPr="005C6C41">
        <w:rPr>
          <w:rFonts w:asciiTheme="minorHAnsi" w:hAnsiTheme="minorHAnsi" w:cstheme="minorHAnsi"/>
          <w:i/>
          <w:iCs/>
          <w:color w:val="060706"/>
          <w:shd w:val="clear" w:color="auto" w:fill="FFFFFF"/>
        </w:rPr>
        <w:t xml:space="preserve"> / </w:t>
      </w:r>
      <w:r w:rsidRPr="005C6C41">
        <w:rPr>
          <w:rFonts w:asciiTheme="minorHAnsi" w:hAnsiTheme="minorHAnsi" w:cstheme="minorHAnsi"/>
          <w:i/>
          <w:iCs/>
          <w:color w:val="060706"/>
          <w:shd w:val="clear" w:color="auto" w:fill="FFFFFF"/>
        </w:rPr>
        <w:t>Fleets of ocean greyhounds</w:t>
      </w:r>
      <w:r w:rsidR="00F26F90" w:rsidRPr="005C6C41">
        <w:rPr>
          <w:rFonts w:asciiTheme="minorHAnsi" w:hAnsiTheme="minorHAnsi" w:cstheme="minorHAnsi"/>
          <w:i/>
          <w:iCs/>
          <w:color w:val="060706"/>
          <w:shd w:val="clear" w:color="auto" w:fill="FFFFFF"/>
        </w:rPr>
        <w:t xml:space="preserve"> / </w:t>
      </w:r>
      <w:r w:rsidRPr="005C6C41">
        <w:rPr>
          <w:rFonts w:asciiTheme="minorHAnsi" w:hAnsiTheme="minorHAnsi" w:cstheme="minorHAnsi"/>
          <w:i/>
          <w:iCs/>
          <w:color w:val="060706"/>
          <w:shd w:val="clear" w:color="auto" w:fill="FFFFFF"/>
        </w:rPr>
        <w:t>Majestic, self-amortizing canals</w:t>
      </w:r>
      <w:r w:rsidR="00F26F90" w:rsidRPr="005C6C41">
        <w:rPr>
          <w:rFonts w:asciiTheme="minorHAnsi" w:hAnsiTheme="minorHAnsi" w:cstheme="minorHAnsi"/>
          <w:i/>
          <w:iCs/>
          <w:color w:val="060706"/>
          <w:shd w:val="clear" w:color="auto" w:fill="FFFFFF"/>
        </w:rPr>
        <w:t xml:space="preserve"> / </w:t>
      </w:r>
      <w:r w:rsidRPr="005C6C41">
        <w:rPr>
          <w:rFonts w:asciiTheme="minorHAnsi" w:hAnsiTheme="minorHAnsi" w:cstheme="minorHAnsi"/>
          <w:i/>
          <w:iCs/>
          <w:color w:val="060706"/>
          <w:shd w:val="clear" w:color="auto" w:fill="FFFFFF"/>
        </w:rPr>
        <w:t>Plantations of ripening tea</w:t>
      </w:r>
    </w:p>
    <w:p w:rsidR="00D92F61" w:rsidRPr="005C6C41" w:rsidRDefault="00D92F61" w:rsidP="005C6C41">
      <w:pPr>
        <w:pStyle w:val="NormalWeb"/>
        <w:shd w:val="clear" w:color="auto" w:fill="FFFFFF"/>
        <w:spacing w:before="0" w:beforeAutospacing="0" w:after="0" w:afterAutospacing="0"/>
        <w:ind w:left="709"/>
        <w:jc w:val="both"/>
        <w:rPr>
          <w:rFonts w:asciiTheme="minorHAnsi" w:hAnsiTheme="minorHAnsi" w:cstheme="minorHAnsi"/>
          <w:color w:val="060706"/>
        </w:rPr>
      </w:pPr>
      <w:r w:rsidRPr="005C6C41">
        <w:rPr>
          <w:rStyle w:val="Emphasis"/>
          <w:rFonts w:asciiTheme="minorHAnsi" w:hAnsiTheme="minorHAnsi" w:cstheme="minorHAnsi"/>
          <w:color w:val="060706"/>
        </w:rPr>
        <w:t>All from tuppence, prudently</w:t>
      </w:r>
      <w:r w:rsidR="005C6C41" w:rsidRPr="005C6C41">
        <w:rPr>
          <w:rStyle w:val="Emphasis"/>
          <w:rFonts w:asciiTheme="minorHAnsi" w:hAnsiTheme="minorHAnsi" w:cstheme="minorHAnsi"/>
          <w:color w:val="060706"/>
        </w:rPr>
        <w:t xml:space="preserve"> </w:t>
      </w:r>
      <w:r w:rsidR="00F26F90" w:rsidRPr="005C6C41">
        <w:rPr>
          <w:rStyle w:val="Emphasis"/>
          <w:rFonts w:asciiTheme="minorHAnsi" w:hAnsiTheme="minorHAnsi" w:cstheme="minorHAnsi"/>
          <w:color w:val="060706"/>
        </w:rPr>
        <w:t xml:space="preserve">/ </w:t>
      </w:r>
      <w:r w:rsidRPr="005C6C41">
        <w:rPr>
          <w:rStyle w:val="Emphasis"/>
          <w:rFonts w:asciiTheme="minorHAnsi" w:hAnsiTheme="minorHAnsi" w:cstheme="minorHAnsi"/>
          <w:color w:val="060706"/>
        </w:rPr>
        <w:t>Fruitfully, frugally invested</w:t>
      </w:r>
      <w:r w:rsidR="00F26F90" w:rsidRPr="005C6C41">
        <w:rPr>
          <w:rStyle w:val="Emphasis"/>
          <w:rFonts w:asciiTheme="minorHAnsi" w:hAnsiTheme="minorHAnsi" w:cstheme="minorHAnsi"/>
          <w:color w:val="060706"/>
        </w:rPr>
        <w:t xml:space="preserve"> </w:t>
      </w:r>
      <w:r w:rsidR="005C6C41" w:rsidRPr="005C6C41">
        <w:rPr>
          <w:rStyle w:val="Emphasis"/>
          <w:rFonts w:asciiTheme="minorHAnsi" w:hAnsiTheme="minorHAnsi" w:cstheme="minorHAnsi"/>
          <w:color w:val="060706"/>
        </w:rPr>
        <w:t xml:space="preserve"> </w:t>
      </w:r>
      <w:r w:rsidR="00F26F90" w:rsidRPr="005C6C41">
        <w:rPr>
          <w:rStyle w:val="Emphasis"/>
          <w:rFonts w:asciiTheme="minorHAnsi" w:hAnsiTheme="minorHAnsi" w:cstheme="minorHAnsi"/>
          <w:color w:val="060706"/>
        </w:rPr>
        <w:t xml:space="preserve">/ </w:t>
      </w:r>
      <w:r w:rsidRPr="005C6C41">
        <w:rPr>
          <w:rStyle w:val="Emphasis"/>
          <w:rFonts w:asciiTheme="minorHAnsi" w:hAnsiTheme="minorHAnsi" w:cstheme="minorHAnsi"/>
          <w:color w:val="060706"/>
        </w:rPr>
        <w:t>In the, to be specific,</w:t>
      </w:r>
      <w:r w:rsidR="005C6C41" w:rsidRPr="005C6C41">
        <w:rPr>
          <w:rStyle w:val="Emphasis"/>
          <w:rFonts w:asciiTheme="minorHAnsi" w:hAnsiTheme="minorHAnsi" w:cstheme="minorHAnsi"/>
          <w:color w:val="060706"/>
        </w:rPr>
        <w:t xml:space="preserve"> </w:t>
      </w:r>
      <w:r w:rsidR="00F26F90" w:rsidRPr="005C6C41">
        <w:rPr>
          <w:rStyle w:val="Emphasis"/>
          <w:rFonts w:asciiTheme="minorHAnsi" w:hAnsiTheme="minorHAnsi" w:cstheme="minorHAnsi"/>
          <w:color w:val="060706"/>
        </w:rPr>
        <w:t xml:space="preserve">/ </w:t>
      </w:r>
      <w:r w:rsidRPr="005C6C41">
        <w:rPr>
          <w:rStyle w:val="Emphasis"/>
          <w:rFonts w:asciiTheme="minorHAnsi" w:hAnsiTheme="minorHAnsi" w:cstheme="minorHAnsi"/>
          <w:color w:val="060706"/>
        </w:rPr>
        <w:t>In the Dawes, Tomes</w:t>
      </w:r>
      <w:r w:rsidR="00F26F90" w:rsidRPr="005C6C41">
        <w:rPr>
          <w:rStyle w:val="Emphasis"/>
          <w:rFonts w:asciiTheme="minorHAnsi" w:hAnsiTheme="minorHAnsi" w:cstheme="minorHAnsi"/>
          <w:color w:val="060706"/>
        </w:rPr>
        <w:t xml:space="preserve"> / </w:t>
      </w:r>
      <w:r w:rsidRPr="005C6C41">
        <w:rPr>
          <w:rStyle w:val="Emphasis"/>
          <w:rFonts w:asciiTheme="minorHAnsi" w:hAnsiTheme="minorHAnsi" w:cstheme="minorHAnsi"/>
          <w:color w:val="060706"/>
        </w:rPr>
        <w:t>Mousely, Grubbs</w:t>
      </w:r>
      <w:r w:rsidR="00F26F90" w:rsidRPr="005C6C41">
        <w:rPr>
          <w:rStyle w:val="Emphasis"/>
          <w:rFonts w:asciiTheme="minorHAnsi" w:hAnsiTheme="minorHAnsi" w:cstheme="minorHAnsi"/>
          <w:color w:val="060706"/>
        </w:rPr>
        <w:t xml:space="preserve">/ </w:t>
      </w:r>
      <w:r w:rsidRPr="005C6C41">
        <w:rPr>
          <w:rStyle w:val="Emphasis"/>
          <w:rFonts w:asciiTheme="minorHAnsi" w:hAnsiTheme="minorHAnsi" w:cstheme="minorHAnsi"/>
          <w:color w:val="060706"/>
        </w:rPr>
        <w:t>Fidelity Fiduciary Bank!</w:t>
      </w:r>
    </w:p>
    <w:p w:rsidR="00D92F61" w:rsidRPr="005C6C41" w:rsidRDefault="005C6C41" w:rsidP="00D92F61">
      <w:pPr>
        <w:autoSpaceDE w:val="0"/>
        <w:autoSpaceDN w:val="0"/>
        <w:adjustRightInd w:val="0"/>
        <w:spacing w:after="0" w:line="360" w:lineRule="auto"/>
        <w:jc w:val="both"/>
        <w:rPr>
          <w:rFonts w:cstheme="minorHAnsi"/>
          <w:sz w:val="24"/>
          <w:szCs w:val="24"/>
        </w:rPr>
      </w:pPr>
      <w:r w:rsidRPr="005C6C41">
        <w:rPr>
          <w:rFonts w:cstheme="minorHAnsi"/>
          <w:sz w:val="24"/>
          <w:szCs w:val="24"/>
        </w:rPr>
        <w:tab/>
      </w:r>
    </w:p>
    <w:p w:rsidR="005C6C41" w:rsidRPr="005C6C41" w:rsidRDefault="005C6C41" w:rsidP="00D92F61">
      <w:pPr>
        <w:autoSpaceDE w:val="0"/>
        <w:autoSpaceDN w:val="0"/>
        <w:adjustRightInd w:val="0"/>
        <w:spacing w:after="0" w:line="360" w:lineRule="auto"/>
        <w:jc w:val="both"/>
        <w:rPr>
          <w:rFonts w:cstheme="minorHAnsi"/>
          <w:sz w:val="24"/>
          <w:szCs w:val="24"/>
        </w:rPr>
      </w:pPr>
      <w:r w:rsidRPr="005C6C41">
        <w:rPr>
          <w:rFonts w:cstheme="minorHAnsi"/>
          <w:sz w:val="24"/>
          <w:szCs w:val="24"/>
        </w:rPr>
        <w:tab/>
        <w:t>In times like this, it may be good to remember Mary Poppins and the tuppence song!</w:t>
      </w:r>
    </w:p>
    <w:p w:rsidR="005C6C41" w:rsidRDefault="005C6C41" w:rsidP="00D92F61">
      <w:pPr>
        <w:autoSpaceDE w:val="0"/>
        <w:autoSpaceDN w:val="0"/>
        <w:adjustRightInd w:val="0"/>
        <w:spacing w:after="0" w:line="360" w:lineRule="auto"/>
        <w:jc w:val="both"/>
        <w:rPr>
          <w:sz w:val="23"/>
          <w:szCs w:val="23"/>
        </w:rPr>
      </w:pPr>
    </w:p>
    <w:p w:rsidR="005C6C41" w:rsidRDefault="005C6C41" w:rsidP="005C6C41">
      <w:pPr>
        <w:autoSpaceDE w:val="0"/>
        <w:autoSpaceDN w:val="0"/>
        <w:adjustRightInd w:val="0"/>
        <w:spacing w:after="0" w:line="360" w:lineRule="auto"/>
        <w:jc w:val="center"/>
        <w:rPr>
          <w:sz w:val="23"/>
          <w:szCs w:val="23"/>
        </w:rPr>
      </w:pPr>
      <w:r>
        <w:rPr>
          <w:sz w:val="23"/>
          <w:szCs w:val="23"/>
        </w:rPr>
        <w:t xml:space="preserve">****** </w:t>
      </w:r>
    </w:p>
    <w:p w:rsidR="005C6C41" w:rsidRDefault="005C6C41" w:rsidP="005C6C41">
      <w:pPr>
        <w:autoSpaceDE w:val="0"/>
        <w:autoSpaceDN w:val="0"/>
        <w:adjustRightInd w:val="0"/>
        <w:spacing w:after="0" w:line="360" w:lineRule="auto"/>
        <w:jc w:val="center"/>
        <w:rPr>
          <w:sz w:val="23"/>
          <w:szCs w:val="23"/>
        </w:rPr>
      </w:pPr>
    </w:p>
    <w:p w:rsidR="0046018E" w:rsidRDefault="0046018E" w:rsidP="0046018E">
      <w:pPr>
        <w:autoSpaceDE w:val="0"/>
        <w:autoSpaceDN w:val="0"/>
        <w:adjustRightInd w:val="0"/>
        <w:spacing w:after="0" w:line="360" w:lineRule="auto"/>
        <w:jc w:val="both"/>
        <w:rPr>
          <w:sz w:val="23"/>
          <w:szCs w:val="23"/>
        </w:rPr>
      </w:pPr>
    </w:p>
    <w:p w:rsidR="00A55EA3" w:rsidRPr="00A55EA3" w:rsidRDefault="00A55EA3" w:rsidP="00A55EA3">
      <w:pPr>
        <w:autoSpaceDE w:val="0"/>
        <w:autoSpaceDN w:val="0"/>
        <w:adjustRightInd w:val="0"/>
        <w:spacing w:after="0" w:line="360" w:lineRule="auto"/>
        <w:jc w:val="both"/>
        <w:rPr>
          <w:rFonts w:cstheme="minorHAnsi"/>
          <w:sz w:val="24"/>
          <w:szCs w:val="24"/>
        </w:rPr>
      </w:pPr>
    </w:p>
    <w:p w:rsidR="00570382" w:rsidRPr="00A55EA3" w:rsidRDefault="00570382" w:rsidP="00A55EA3">
      <w:pPr>
        <w:spacing w:after="0" w:line="360" w:lineRule="auto"/>
        <w:jc w:val="both"/>
        <w:rPr>
          <w:rFonts w:cstheme="minorHAnsi"/>
          <w:sz w:val="24"/>
          <w:szCs w:val="24"/>
        </w:rPr>
      </w:pPr>
    </w:p>
    <w:p w:rsidR="00570382" w:rsidRPr="00A55EA3" w:rsidRDefault="00570382" w:rsidP="00A55EA3">
      <w:pPr>
        <w:spacing w:after="0" w:line="360" w:lineRule="auto"/>
        <w:jc w:val="both"/>
        <w:rPr>
          <w:rFonts w:cstheme="minorHAnsi"/>
          <w:sz w:val="24"/>
          <w:szCs w:val="24"/>
        </w:rPr>
      </w:pPr>
    </w:p>
    <w:p w:rsidR="00570382" w:rsidRDefault="00570382" w:rsidP="005E58DF">
      <w:pPr>
        <w:spacing w:after="0" w:line="360" w:lineRule="auto"/>
        <w:jc w:val="both"/>
        <w:rPr>
          <w:rFonts w:cstheme="minorHAnsi"/>
          <w:sz w:val="24"/>
          <w:szCs w:val="24"/>
        </w:rPr>
      </w:pPr>
    </w:p>
    <w:p w:rsidR="005E58DF" w:rsidRDefault="005E58DF" w:rsidP="005E58DF">
      <w:pPr>
        <w:spacing w:after="0" w:line="360" w:lineRule="auto"/>
        <w:jc w:val="both"/>
        <w:rPr>
          <w:rFonts w:cstheme="minorHAnsi"/>
          <w:sz w:val="24"/>
          <w:szCs w:val="24"/>
        </w:rPr>
      </w:pPr>
    </w:p>
    <w:p w:rsidR="005E58DF" w:rsidRDefault="005E58DF" w:rsidP="005E58DF">
      <w:pPr>
        <w:spacing w:after="0" w:line="240" w:lineRule="auto"/>
        <w:jc w:val="center"/>
      </w:pPr>
    </w:p>
    <w:sectPr w:rsidR="005E58D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FB6" w:rsidRDefault="00484FB6" w:rsidP="00786373">
      <w:pPr>
        <w:spacing w:after="0" w:line="240" w:lineRule="auto"/>
      </w:pPr>
      <w:r>
        <w:separator/>
      </w:r>
    </w:p>
  </w:endnote>
  <w:endnote w:type="continuationSeparator" w:id="0">
    <w:p w:rsidR="00484FB6" w:rsidRDefault="00484FB6" w:rsidP="0078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119899"/>
      <w:docPartObj>
        <w:docPartGallery w:val="Page Numbers (Bottom of Page)"/>
        <w:docPartUnique/>
      </w:docPartObj>
    </w:sdtPr>
    <w:sdtEndPr/>
    <w:sdtContent>
      <w:p w:rsidR="005C6C41" w:rsidRDefault="005C6C41">
        <w:pPr>
          <w:pStyle w:val="Footer"/>
          <w:jc w:val="right"/>
        </w:pPr>
        <w:r>
          <w:t xml:space="preserve">Page | </w:t>
        </w:r>
        <w:r>
          <w:fldChar w:fldCharType="begin"/>
        </w:r>
        <w:r>
          <w:instrText xml:space="preserve"> PAGE   \* MERGEFORMAT </w:instrText>
        </w:r>
        <w:r>
          <w:fldChar w:fldCharType="separate"/>
        </w:r>
        <w:r w:rsidR="00482CC6">
          <w:rPr>
            <w:noProof/>
          </w:rPr>
          <w:t>5</w:t>
        </w:r>
        <w:r>
          <w:rPr>
            <w:noProof/>
          </w:rPr>
          <w:fldChar w:fldCharType="end"/>
        </w:r>
        <w:r>
          <w:t xml:space="preserve"> </w:t>
        </w:r>
      </w:p>
    </w:sdtContent>
  </w:sdt>
  <w:p w:rsidR="005C6C41" w:rsidRDefault="005C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FB6" w:rsidRDefault="00484FB6" w:rsidP="00786373">
      <w:pPr>
        <w:spacing w:after="0" w:line="240" w:lineRule="auto"/>
      </w:pPr>
      <w:r>
        <w:separator/>
      </w:r>
    </w:p>
  </w:footnote>
  <w:footnote w:type="continuationSeparator" w:id="0">
    <w:p w:rsidR="00484FB6" w:rsidRDefault="00484FB6" w:rsidP="00786373">
      <w:pPr>
        <w:spacing w:after="0" w:line="240" w:lineRule="auto"/>
      </w:pPr>
      <w:r>
        <w:continuationSeparator/>
      </w:r>
    </w:p>
  </w:footnote>
  <w:footnote w:id="1">
    <w:p w:rsidR="005627E9" w:rsidRPr="005C6C41" w:rsidRDefault="005627E9" w:rsidP="005627E9">
      <w:pPr>
        <w:spacing w:after="120" w:line="240" w:lineRule="auto"/>
        <w:rPr>
          <w:rFonts w:cstheme="minorHAnsi"/>
          <w:sz w:val="20"/>
          <w:szCs w:val="20"/>
        </w:rPr>
      </w:pPr>
      <w:r w:rsidRPr="005C6C41">
        <w:rPr>
          <w:rStyle w:val="FootnoteReference"/>
          <w:rFonts w:cstheme="minorHAnsi"/>
          <w:szCs w:val="20"/>
        </w:rPr>
        <w:footnoteRef/>
      </w:r>
      <w:r w:rsidRPr="005C6C41">
        <w:rPr>
          <w:rFonts w:cstheme="minorHAnsi"/>
          <w:sz w:val="20"/>
          <w:szCs w:val="20"/>
        </w:rPr>
        <w:t xml:space="preserve"> Mohan, Rakesh and Partha Ray (2017): "Indian Financial Sector: Structure, Trends and Turns", IMF Working Paper, No. WP/17/7, available at </w:t>
      </w:r>
      <w:hyperlink r:id="rId1" w:history="1">
        <w:r w:rsidRPr="005C6C41">
          <w:rPr>
            <w:rStyle w:val="Hyperlink"/>
            <w:rFonts w:cstheme="minorHAnsi"/>
            <w:sz w:val="20"/>
            <w:szCs w:val="20"/>
          </w:rPr>
          <w:t>https://www.imf.org/en/Publications/WP/Issues/2017/01/20/Indian-Financial-Sector-Structure-Trends-and-Turns-44554</w:t>
        </w:r>
      </w:hyperlink>
      <w:r w:rsidRPr="005C6C41">
        <w:rPr>
          <w:rFonts w:cstheme="min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2778A"/>
    <w:multiLevelType w:val="hybridMultilevel"/>
    <w:tmpl w:val="7BF25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DF"/>
    <w:rsid w:val="00356BBB"/>
    <w:rsid w:val="0046018E"/>
    <w:rsid w:val="00482CC6"/>
    <w:rsid w:val="00484FB6"/>
    <w:rsid w:val="004C58A8"/>
    <w:rsid w:val="005627E9"/>
    <w:rsid w:val="00570382"/>
    <w:rsid w:val="005C6C41"/>
    <w:rsid w:val="005E58DF"/>
    <w:rsid w:val="007206A8"/>
    <w:rsid w:val="00786373"/>
    <w:rsid w:val="00845B9D"/>
    <w:rsid w:val="008C0E23"/>
    <w:rsid w:val="00A55EA3"/>
    <w:rsid w:val="00D92F61"/>
    <w:rsid w:val="00F169EA"/>
    <w:rsid w:val="00F26F90"/>
    <w:rsid w:val="00F447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2AB58-F96B-45C0-B3D3-B7C4D89D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382"/>
    <w:rPr>
      <w:rFonts w:ascii="Tahoma" w:hAnsi="Tahoma" w:cs="Tahoma"/>
      <w:sz w:val="16"/>
      <w:szCs w:val="16"/>
    </w:rPr>
  </w:style>
  <w:style w:type="table" w:styleId="TableGrid">
    <w:name w:val="Table Grid"/>
    <w:basedOn w:val="TableNormal"/>
    <w:uiPriority w:val="59"/>
    <w:rsid w:val="00570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786373"/>
    <w:rPr>
      <w:sz w:val="20"/>
      <w:vertAlign w:val="superscript"/>
    </w:rPr>
  </w:style>
  <w:style w:type="paragraph" w:styleId="FootnoteText">
    <w:name w:val="footnote text"/>
    <w:basedOn w:val="Normal"/>
    <w:link w:val="FootnoteTextChar"/>
    <w:uiPriority w:val="99"/>
    <w:semiHidden/>
    <w:rsid w:val="00786373"/>
    <w:pPr>
      <w:spacing w:after="24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786373"/>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86373"/>
    <w:pPr>
      <w:ind w:left="720"/>
      <w:contextualSpacing/>
    </w:pPr>
  </w:style>
  <w:style w:type="character" w:styleId="Hyperlink">
    <w:name w:val="Hyperlink"/>
    <w:basedOn w:val="DefaultParagraphFont"/>
    <w:uiPriority w:val="99"/>
    <w:unhideWhenUsed/>
    <w:rsid w:val="005627E9"/>
    <w:rPr>
      <w:color w:val="0000FF" w:themeColor="hyperlink"/>
      <w:u w:val="single"/>
    </w:rPr>
  </w:style>
  <w:style w:type="paragraph" w:customStyle="1" w:styleId="Default">
    <w:name w:val="Default"/>
    <w:rsid w:val="00A55EA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92F6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92F61"/>
    <w:rPr>
      <w:i/>
      <w:iCs/>
    </w:rPr>
  </w:style>
  <w:style w:type="character" w:customStyle="1" w:styleId="apple-converted-space">
    <w:name w:val="apple-converted-space"/>
    <w:basedOn w:val="DefaultParagraphFont"/>
    <w:rsid w:val="00F26F90"/>
  </w:style>
  <w:style w:type="paragraph" w:styleId="Header">
    <w:name w:val="header"/>
    <w:basedOn w:val="Normal"/>
    <w:link w:val="HeaderChar"/>
    <w:uiPriority w:val="99"/>
    <w:unhideWhenUsed/>
    <w:rsid w:val="005C6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C41"/>
  </w:style>
  <w:style w:type="paragraph" w:styleId="Footer">
    <w:name w:val="footer"/>
    <w:basedOn w:val="Normal"/>
    <w:link w:val="FooterChar"/>
    <w:uiPriority w:val="99"/>
    <w:unhideWhenUsed/>
    <w:rsid w:val="005C6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671669">
      <w:bodyDiv w:val="1"/>
      <w:marLeft w:val="0"/>
      <w:marRight w:val="0"/>
      <w:marTop w:val="0"/>
      <w:marBottom w:val="0"/>
      <w:divBdr>
        <w:top w:val="none" w:sz="0" w:space="0" w:color="auto"/>
        <w:left w:val="none" w:sz="0" w:space="0" w:color="auto"/>
        <w:bottom w:val="none" w:sz="0" w:space="0" w:color="auto"/>
        <w:right w:val="none" w:sz="0" w:space="0" w:color="auto"/>
      </w:divBdr>
    </w:div>
    <w:div w:id="18122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WP/Issues/2017/01/20/Indian-Financial-Sector-Structure-Trends-and-Turns-44554%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Artha\HBS_Table_No._235_-_Select_Aggregates_of_Scheduled_Commercial_Banks_-_Growth_Ra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Artha\HBS_Table_No._235_-_Select_Aggregates_of_Scheduled_Commercial_Banks_-_Growth_Ra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'Report 1'!$C$6</c:f>
              <c:strCache>
                <c:ptCount val="1"/>
                <c:pt idx="0">
                  <c:v>Aggregate Deposits 
</c:v>
                </c:pt>
              </c:strCache>
            </c:strRef>
          </c:tx>
          <c:marker>
            <c:symbol val="none"/>
          </c:marker>
          <c:cat>
            <c:strRef>
              <c:f>'Report 1'!$B$7:$B$52</c:f>
              <c:strCache>
                <c:ptCount val="46"/>
                <c:pt idx="0">
                  <c:v>1970-71   </c:v>
                </c:pt>
                <c:pt idx="1">
                  <c:v>1971-72   </c:v>
                </c:pt>
                <c:pt idx="2">
                  <c:v>1972-73   </c:v>
                </c:pt>
                <c:pt idx="3">
                  <c:v>1973-74   </c:v>
                </c:pt>
                <c:pt idx="4">
                  <c:v>1974-75   </c:v>
                </c:pt>
                <c:pt idx="5">
                  <c:v>1975-76   </c:v>
                </c:pt>
                <c:pt idx="6">
                  <c:v>1976-77   </c:v>
                </c:pt>
                <c:pt idx="7">
                  <c:v>1977-78   </c:v>
                </c:pt>
                <c:pt idx="8">
                  <c:v>1978-79   </c:v>
                </c:pt>
                <c:pt idx="9">
                  <c:v>1979-80   </c:v>
                </c:pt>
                <c:pt idx="10">
                  <c:v>1980-81   </c:v>
                </c:pt>
                <c:pt idx="11">
                  <c:v>1981-82   </c:v>
                </c:pt>
                <c:pt idx="12">
                  <c:v>1982-83   </c:v>
                </c:pt>
                <c:pt idx="13">
                  <c:v>1983-84   </c:v>
                </c:pt>
                <c:pt idx="14">
                  <c:v>1984-85   </c:v>
                </c:pt>
                <c:pt idx="15">
                  <c:v>1985-86   </c:v>
                </c:pt>
                <c:pt idx="16">
                  <c:v>1986-87   </c:v>
                </c:pt>
                <c:pt idx="17">
                  <c:v>1987-88   </c:v>
                </c:pt>
                <c:pt idx="18">
                  <c:v>1988-89   </c:v>
                </c:pt>
                <c:pt idx="19">
                  <c:v>1989-90   </c:v>
                </c:pt>
                <c:pt idx="20">
                  <c:v>1990-91   </c:v>
                </c:pt>
                <c:pt idx="21">
                  <c:v>1991-92   </c:v>
                </c:pt>
                <c:pt idx="22">
                  <c:v>1992-93   </c:v>
                </c:pt>
                <c:pt idx="23">
                  <c:v>1993-94   </c:v>
                </c:pt>
                <c:pt idx="24">
                  <c:v>1994-95   </c:v>
                </c:pt>
                <c:pt idx="25">
                  <c:v>1995-96   </c:v>
                </c:pt>
                <c:pt idx="26">
                  <c:v>1996-97   </c:v>
                </c:pt>
                <c:pt idx="27">
                  <c:v>1997-98   </c:v>
                </c:pt>
                <c:pt idx="28">
                  <c:v>1998-99   </c:v>
                </c:pt>
                <c:pt idx="29">
                  <c:v>1999-00   </c:v>
                </c:pt>
                <c:pt idx="30">
                  <c:v>2000-01   </c:v>
                </c:pt>
                <c:pt idx="31">
                  <c:v>2001-02   </c:v>
                </c:pt>
                <c:pt idx="32">
                  <c:v>2002-03   </c:v>
                </c:pt>
                <c:pt idx="33">
                  <c:v>2003-04   </c:v>
                </c:pt>
                <c:pt idx="34">
                  <c:v>2004-05   </c:v>
                </c:pt>
                <c:pt idx="35">
                  <c:v>2005-06   </c:v>
                </c:pt>
                <c:pt idx="36">
                  <c:v>2006-07   </c:v>
                </c:pt>
                <c:pt idx="37">
                  <c:v>2007-08   </c:v>
                </c:pt>
                <c:pt idx="38">
                  <c:v>2008-09   </c:v>
                </c:pt>
                <c:pt idx="39">
                  <c:v>2009-10   </c:v>
                </c:pt>
                <c:pt idx="40">
                  <c:v>2010-11   </c:v>
                </c:pt>
                <c:pt idx="41">
                  <c:v>2011-12   </c:v>
                </c:pt>
                <c:pt idx="42">
                  <c:v>2012-13   </c:v>
                </c:pt>
                <c:pt idx="43">
                  <c:v>2013-14   </c:v>
                </c:pt>
                <c:pt idx="44">
                  <c:v>2014-15   </c:v>
                </c:pt>
                <c:pt idx="45">
                  <c:v>2015-16   </c:v>
                </c:pt>
              </c:strCache>
            </c:strRef>
          </c:cat>
          <c:val>
            <c:numRef>
              <c:f>'Report 1'!$C$7:$C$52</c:f>
              <c:numCache>
                <c:formatCode>#,##0.0</c:formatCode>
                <c:ptCount val="46"/>
                <c:pt idx="0">
                  <c:v>17.5</c:v>
                </c:pt>
                <c:pt idx="1">
                  <c:v>20.3</c:v>
                </c:pt>
                <c:pt idx="2">
                  <c:v>21.6</c:v>
                </c:pt>
                <c:pt idx="3">
                  <c:v>17.3</c:v>
                </c:pt>
                <c:pt idx="4">
                  <c:v>16.600000000000001</c:v>
                </c:pt>
                <c:pt idx="5">
                  <c:v>19.7</c:v>
                </c:pt>
                <c:pt idx="6">
                  <c:v>24.1</c:v>
                </c:pt>
                <c:pt idx="7">
                  <c:v>26.4</c:v>
                </c:pt>
                <c:pt idx="8">
                  <c:v>21.6</c:v>
                </c:pt>
                <c:pt idx="9">
                  <c:v>17.600000000000001</c:v>
                </c:pt>
                <c:pt idx="10">
                  <c:v>19.600000000000001</c:v>
                </c:pt>
                <c:pt idx="11">
                  <c:v>15.1</c:v>
                </c:pt>
                <c:pt idx="12">
                  <c:v>17.399999999999999</c:v>
                </c:pt>
                <c:pt idx="13">
                  <c:v>18</c:v>
                </c:pt>
                <c:pt idx="14">
                  <c:v>19.2</c:v>
                </c:pt>
                <c:pt idx="15">
                  <c:v>18.2</c:v>
                </c:pt>
                <c:pt idx="16">
                  <c:v>20.3</c:v>
                </c:pt>
                <c:pt idx="17">
                  <c:v>14.9</c:v>
                </c:pt>
                <c:pt idx="18">
                  <c:v>18.7</c:v>
                </c:pt>
                <c:pt idx="19">
                  <c:v>19.100000000000001</c:v>
                </c:pt>
                <c:pt idx="20">
                  <c:v>15.3</c:v>
                </c:pt>
                <c:pt idx="21">
                  <c:v>19.8</c:v>
                </c:pt>
                <c:pt idx="22">
                  <c:v>16.399999999999999</c:v>
                </c:pt>
                <c:pt idx="23">
                  <c:v>17.3</c:v>
                </c:pt>
                <c:pt idx="24">
                  <c:v>22.8</c:v>
                </c:pt>
                <c:pt idx="25">
                  <c:v>12.1</c:v>
                </c:pt>
                <c:pt idx="26">
                  <c:v>16.5</c:v>
                </c:pt>
                <c:pt idx="27">
                  <c:v>18.399999999999999</c:v>
                </c:pt>
                <c:pt idx="28">
                  <c:v>19.3</c:v>
                </c:pt>
                <c:pt idx="29">
                  <c:v>13.9</c:v>
                </c:pt>
                <c:pt idx="30">
                  <c:v>18.399999999999999</c:v>
                </c:pt>
                <c:pt idx="31">
                  <c:v>14.6</c:v>
                </c:pt>
                <c:pt idx="32">
                  <c:v>16.100000000000001</c:v>
                </c:pt>
                <c:pt idx="33">
                  <c:v>17.5</c:v>
                </c:pt>
                <c:pt idx="34">
                  <c:v>13</c:v>
                </c:pt>
                <c:pt idx="35">
                  <c:v>18.100000000000001</c:v>
                </c:pt>
                <c:pt idx="36">
                  <c:v>23.8</c:v>
                </c:pt>
                <c:pt idx="37">
                  <c:v>22.4</c:v>
                </c:pt>
                <c:pt idx="38">
                  <c:v>19.899999999999999</c:v>
                </c:pt>
                <c:pt idx="39">
                  <c:v>17.2</c:v>
                </c:pt>
                <c:pt idx="40">
                  <c:v>15.9</c:v>
                </c:pt>
                <c:pt idx="41">
                  <c:v>13.5</c:v>
                </c:pt>
                <c:pt idx="42">
                  <c:v>14.2</c:v>
                </c:pt>
                <c:pt idx="43">
                  <c:v>14.1</c:v>
                </c:pt>
                <c:pt idx="44">
                  <c:v>10.7</c:v>
                </c:pt>
                <c:pt idx="45">
                  <c:v>9.3000000000000007</c:v>
                </c:pt>
              </c:numCache>
            </c:numRef>
          </c:val>
          <c:smooth val="0"/>
        </c:ser>
        <c:ser>
          <c:idx val="1"/>
          <c:order val="1"/>
          <c:tx>
            <c:strRef>
              <c:f>'Report 1'!$D$6</c:f>
              <c:strCache>
                <c:ptCount val="1"/>
                <c:pt idx="0">
                  <c:v>Bank Credit</c:v>
                </c:pt>
              </c:strCache>
            </c:strRef>
          </c:tx>
          <c:marker>
            <c:symbol val="none"/>
          </c:marker>
          <c:cat>
            <c:strRef>
              <c:f>'Report 1'!$B$7:$B$52</c:f>
              <c:strCache>
                <c:ptCount val="46"/>
                <c:pt idx="0">
                  <c:v>1970-71   </c:v>
                </c:pt>
                <c:pt idx="1">
                  <c:v>1971-72   </c:v>
                </c:pt>
                <c:pt idx="2">
                  <c:v>1972-73   </c:v>
                </c:pt>
                <c:pt idx="3">
                  <c:v>1973-74   </c:v>
                </c:pt>
                <c:pt idx="4">
                  <c:v>1974-75   </c:v>
                </c:pt>
                <c:pt idx="5">
                  <c:v>1975-76   </c:v>
                </c:pt>
                <c:pt idx="6">
                  <c:v>1976-77   </c:v>
                </c:pt>
                <c:pt idx="7">
                  <c:v>1977-78   </c:v>
                </c:pt>
                <c:pt idx="8">
                  <c:v>1978-79   </c:v>
                </c:pt>
                <c:pt idx="9">
                  <c:v>1979-80   </c:v>
                </c:pt>
                <c:pt idx="10">
                  <c:v>1980-81   </c:v>
                </c:pt>
                <c:pt idx="11">
                  <c:v>1981-82   </c:v>
                </c:pt>
                <c:pt idx="12">
                  <c:v>1982-83   </c:v>
                </c:pt>
                <c:pt idx="13">
                  <c:v>1983-84   </c:v>
                </c:pt>
                <c:pt idx="14">
                  <c:v>1984-85   </c:v>
                </c:pt>
                <c:pt idx="15">
                  <c:v>1985-86   </c:v>
                </c:pt>
                <c:pt idx="16">
                  <c:v>1986-87   </c:v>
                </c:pt>
                <c:pt idx="17">
                  <c:v>1987-88   </c:v>
                </c:pt>
                <c:pt idx="18">
                  <c:v>1988-89   </c:v>
                </c:pt>
                <c:pt idx="19">
                  <c:v>1989-90   </c:v>
                </c:pt>
                <c:pt idx="20">
                  <c:v>1990-91   </c:v>
                </c:pt>
                <c:pt idx="21">
                  <c:v>1991-92   </c:v>
                </c:pt>
                <c:pt idx="22">
                  <c:v>1992-93   </c:v>
                </c:pt>
                <c:pt idx="23">
                  <c:v>1993-94   </c:v>
                </c:pt>
                <c:pt idx="24">
                  <c:v>1994-95   </c:v>
                </c:pt>
                <c:pt idx="25">
                  <c:v>1995-96   </c:v>
                </c:pt>
                <c:pt idx="26">
                  <c:v>1996-97   </c:v>
                </c:pt>
                <c:pt idx="27">
                  <c:v>1997-98   </c:v>
                </c:pt>
                <c:pt idx="28">
                  <c:v>1998-99   </c:v>
                </c:pt>
                <c:pt idx="29">
                  <c:v>1999-00   </c:v>
                </c:pt>
                <c:pt idx="30">
                  <c:v>2000-01   </c:v>
                </c:pt>
                <c:pt idx="31">
                  <c:v>2001-02   </c:v>
                </c:pt>
                <c:pt idx="32">
                  <c:v>2002-03   </c:v>
                </c:pt>
                <c:pt idx="33">
                  <c:v>2003-04   </c:v>
                </c:pt>
                <c:pt idx="34">
                  <c:v>2004-05   </c:v>
                </c:pt>
                <c:pt idx="35">
                  <c:v>2005-06   </c:v>
                </c:pt>
                <c:pt idx="36">
                  <c:v>2006-07   </c:v>
                </c:pt>
                <c:pt idx="37">
                  <c:v>2007-08   </c:v>
                </c:pt>
                <c:pt idx="38">
                  <c:v>2008-09   </c:v>
                </c:pt>
                <c:pt idx="39">
                  <c:v>2009-10   </c:v>
                </c:pt>
                <c:pt idx="40">
                  <c:v>2010-11   </c:v>
                </c:pt>
                <c:pt idx="41">
                  <c:v>2011-12   </c:v>
                </c:pt>
                <c:pt idx="42">
                  <c:v>2012-13   </c:v>
                </c:pt>
                <c:pt idx="43">
                  <c:v>2013-14   </c:v>
                </c:pt>
                <c:pt idx="44">
                  <c:v>2014-15   </c:v>
                </c:pt>
                <c:pt idx="45">
                  <c:v>2015-16   </c:v>
                </c:pt>
              </c:strCache>
            </c:strRef>
          </c:cat>
          <c:val>
            <c:numRef>
              <c:f>'Report 1'!$D$7:$D$52</c:f>
              <c:numCache>
                <c:formatCode>#,##0.0</c:formatCode>
                <c:ptCount val="46"/>
                <c:pt idx="0">
                  <c:v>18</c:v>
                </c:pt>
                <c:pt idx="1">
                  <c:v>12.4</c:v>
                </c:pt>
                <c:pt idx="2">
                  <c:v>16.2</c:v>
                </c:pt>
                <c:pt idx="3">
                  <c:v>21</c:v>
                </c:pt>
                <c:pt idx="4">
                  <c:v>18.399999999999999</c:v>
                </c:pt>
                <c:pt idx="5">
                  <c:v>24.1</c:v>
                </c:pt>
                <c:pt idx="6">
                  <c:v>21.1</c:v>
                </c:pt>
                <c:pt idx="7">
                  <c:v>13.4</c:v>
                </c:pt>
                <c:pt idx="8">
                  <c:v>22.4</c:v>
                </c:pt>
                <c:pt idx="9">
                  <c:v>17.8</c:v>
                </c:pt>
                <c:pt idx="10">
                  <c:v>17.8</c:v>
                </c:pt>
                <c:pt idx="11">
                  <c:v>17</c:v>
                </c:pt>
                <c:pt idx="12">
                  <c:v>19.600000000000001</c:v>
                </c:pt>
                <c:pt idx="13">
                  <c:v>16.3</c:v>
                </c:pt>
                <c:pt idx="14">
                  <c:v>18.5</c:v>
                </c:pt>
                <c:pt idx="15">
                  <c:v>14.5</c:v>
                </c:pt>
                <c:pt idx="16">
                  <c:v>12.9</c:v>
                </c:pt>
                <c:pt idx="17">
                  <c:v>11.4</c:v>
                </c:pt>
                <c:pt idx="18">
                  <c:v>20.100000000000001</c:v>
                </c:pt>
                <c:pt idx="19">
                  <c:v>19.8</c:v>
                </c:pt>
                <c:pt idx="20">
                  <c:v>14.6</c:v>
                </c:pt>
                <c:pt idx="21">
                  <c:v>8</c:v>
                </c:pt>
                <c:pt idx="22">
                  <c:v>21</c:v>
                </c:pt>
                <c:pt idx="23">
                  <c:v>8.1999999999999993</c:v>
                </c:pt>
                <c:pt idx="24">
                  <c:v>28.7</c:v>
                </c:pt>
                <c:pt idx="25">
                  <c:v>20.100000000000001</c:v>
                </c:pt>
                <c:pt idx="26">
                  <c:v>9.6</c:v>
                </c:pt>
                <c:pt idx="27">
                  <c:v>16.399999999999999</c:v>
                </c:pt>
                <c:pt idx="28">
                  <c:v>13.8</c:v>
                </c:pt>
                <c:pt idx="29">
                  <c:v>18.2</c:v>
                </c:pt>
                <c:pt idx="30">
                  <c:v>17.3</c:v>
                </c:pt>
                <c:pt idx="31">
                  <c:v>15.3</c:v>
                </c:pt>
                <c:pt idx="32">
                  <c:v>23.7</c:v>
                </c:pt>
                <c:pt idx="33">
                  <c:v>15.3</c:v>
                </c:pt>
                <c:pt idx="34">
                  <c:v>30.9</c:v>
                </c:pt>
                <c:pt idx="35">
                  <c:v>30.8</c:v>
                </c:pt>
                <c:pt idx="36">
                  <c:v>28.1</c:v>
                </c:pt>
                <c:pt idx="37">
                  <c:v>22.3</c:v>
                </c:pt>
                <c:pt idx="38">
                  <c:v>17.5</c:v>
                </c:pt>
                <c:pt idx="39">
                  <c:v>16.899999999999999</c:v>
                </c:pt>
                <c:pt idx="40">
                  <c:v>21.5</c:v>
                </c:pt>
                <c:pt idx="41">
                  <c:v>17</c:v>
                </c:pt>
                <c:pt idx="42">
                  <c:v>14.1</c:v>
                </c:pt>
                <c:pt idx="43">
                  <c:v>13.9</c:v>
                </c:pt>
                <c:pt idx="44">
                  <c:v>9</c:v>
                </c:pt>
                <c:pt idx="45">
                  <c:v>10.9</c:v>
                </c:pt>
              </c:numCache>
            </c:numRef>
          </c:val>
          <c:smooth val="0"/>
        </c:ser>
        <c:dLbls>
          <c:showLegendKey val="0"/>
          <c:showVal val="0"/>
          <c:showCatName val="0"/>
          <c:showSerName val="0"/>
          <c:showPercent val="0"/>
          <c:showBubbleSize val="0"/>
        </c:dLbls>
        <c:smooth val="0"/>
        <c:axId val="-74353840"/>
        <c:axId val="-74348944"/>
      </c:lineChart>
      <c:catAx>
        <c:axId val="-74353840"/>
        <c:scaling>
          <c:orientation val="minMax"/>
        </c:scaling>
        <c:delete val="0"/>
        <c:axPos val="b"/>
        <c:numFmt formatCode="General" sourceLinked="0"/>
        <c:majorTickMark val="out"/>
        <c:minorTickMark val="none"/>
        <c:tickLblPos val="low"/>
        <c:crossAx val="-74348944"/>
        <c:crosses val="autoZero"/>
        <c:auto val="1"/>
        <c:lblAlgn val="ctr"/>
        <c:lblOffset val="100"/>
        <c:noMultiLvlLbl val="0"/>
      </c:catAx>
      <c:valAx>
        <c:axId val="-74348944"/>
        <c:scaling>
          <c:orientation val="minMax"/>
          <c:min val="5"/>
        </c:scaling>
        <c:delete val="0"/>
        <c:axPos val="l"/>
        <c:majorGridlines/>
        <c:numFmt formatCode="#,##0.0" sourceLinked="1"/>
        <c:majorTickMark val="out"/>
        <c:minorTickMark val="none"/>
        <c:tickLblPos val="nextTo"/>
        <c:crossAx val="-74353840"/>
        <c:crosses val="autoZero"/>
        <c:crossBetween val="between"/>
      </c:valAx>
    </c:plotArea>
    <c:legend>
      <c:legendPos val="b"/>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lineChart>
        <c:grouping val="standard"/>
        <c:varyColors val="0"/>
        <c:ser>
          <c:idx val="0"/>
          <c:order val="0"/>
          <c:tx>
            <c:strRef>
              <c:f>'Report 1'!$C$56</c:f>
              <c:strCache>
                <c:ptCount val="1"/>
                <c:pt idx="0">
                  <c:v>Gross NPA As % of Gross Advances</c:v>
                </c:pt>
              </c:strCache>
            </c:strRef>
          </c:tx>
          <c:marker>
            <c:symbol val="none"/>
          </c:marker>
          <c:cat>
            <c:strRef>
              <c:f>'Report 1'!$B$57:$B$71</c:f>
              <c:strCache>
                <c:ptCount val="15"/>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Sep-16</c:v>
                </c:pt>
              </c:strCache>
            </c:strRef>
          </c:cat>
          <c:val>
            <c:numRef>
              <c:f>'Report 1'!$C$57:$C$71</c:f>
              <c:numCache>
                <c:formatCode>General</c:formatCode>
                <c:ptCount val="15"/>
                <c:pt idx="0">
                  <c:v>8.8000000000000007</c:v>
                </c:pt>
                <c:pt idx="1">
                  <c:v>7.2</c:v>
                </c:pt>
                <c:pt idx="2">
                  <c:v>5.2</c:v>
                </c:pt>
                <c:pt idx="3">
                  <c:v>3.3</c:v>
                </c:pt>
                <c:pt idx="4">
                  <c:v>2.5</c:v>
                </c:pt>
                <c:pt idx="5">
                  <c:v>2.2999999999999998</c:v>
                </c:pt>
                <c:pt idx="6">
                  <c:v>2.2999999999999998</c:v>
                </c:pt>
                <c:pt idx="7">
                  <c:v>2.4</c:v>
                </c:pt>
                <c:pt idx="8">
                  <c:v>2.5</c:v>
                </c:pt>
                <c:pt idx="9">
                  <c:v>3.1</c:v>
                </c:pt>
                <c:pt idx="10">
                  <c:v>3.2</c:v>
                </c:pt>
                <c:pt idx="11">
                  <c:v>3.8</c:v>
                </c:pt>
                <c:pt idx="12">
                  <c:v>4.5999999999999996</c:v>
                </c:pt>
                <c:pt idx="13">
                  <c:v>9.8000000000000007</c:v>
                </c:pt>
                <c:pt idx="14">
                  <c:v>11.8</c:v>
                </c:pt>
              </c:numCache>
            </c:numRef>
          </c:val>
          <c:smooth val="0"/>
        </c:ser>
        <c:dLbls>
          <c:showLegendKey val="0"/>
          <c:showVal val="0"/>
          <c:showCatName val="0"/>
          <c:showSerName val="0"/>
          <c:showPercent val="0"/>
          <c:showBubbleSize val="0"/>
        </c:dLbls>
        <c:smooth val="0"/>
        <c:axId val="-432053888"/>
        <c:axId val="-69900560"/>
      </c:lineChart>
      <c:catAx>
        <c:axId val="-432053888"/>
        <c:scaling>
          <c:orientation val="minMax"/>
        </c:scaling>
        <c:delete val="0"/>
        <c:axPos val="b"/>
        <c:numFmt formatCode="General" sourceLinked="0"/>
        <c:majorTickMark val="out"/>
        <c:minorTickMark val="none"/>
        <c:tickLblPos val="nextTo"/>
        <c:crossAx val="-69900560"/>
        <c:crosses val="autoZero"/>
        <c:auto val="1"/>
        <c:lblAlgn val="ctr"/>
        <c:lblOffset val="100"/>
        <c:noMultiLvlLbl val="0"/>
      </c:catAx>
      <c:valAx>
        <c:axId val="-69900560"/>
        <c:scaling>
          <c:orientation val="minMax"/>
          <c:max val="12"/>
          <c:min val="2"/>
        </c:scaling>
        <c:delete val="0"/>
        <c:axPos val="l"/>
        <c:majorGridlines/>
        <c:numFmt formatCode="General" sourceLinked="1"/>
        <c:majorTickMark val="out"/>
        <c:minorTickMark val="none"/>
        <c:tickLblPos val="nextTo"/>
        <c:crossAx val="-4320538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AF63-18C8-4151-A0E0-D32B46A1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Partha</dc:creator>
  <cp:lastModifiedBy>User</cp:lastModifiedBy>
  <cp:revision>2</cp:revision>
  <dcterms:created xsi:type="dcterms:W3CDTF">2017-02-02T04:20:00Z</dcterms:created>
  <dcterms:modified xsi:type="dcterms:W3CDTF">2017-02-02T04:20:00Z</dcterms:modified>
</cp:coreProperties>
</file>